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CBC40" w14:textId="77777777" w:rsidR="00134873" w:rsidRDefault="00D458A5" w:rsidP="00D458A5">
      <w:pPr>
        <w:pStyle w:val="Nadpishlavn"/>
        <w:rPr>
          <w:i/>
        </w:rPr>
      </w:pPr>
      <w:r w:rsidRPr="00A31CDB">
        <w:t>Výkon rozsudk</w:t>
      </w:r>
      <w:r w:rsidR="00134873">
        <w:t>ů</w:t>
      </w:r>
      <w:r w:rsidRPr="00A31CDB">
        <w:t xml:space="preserve"> Evropského soudu pro lidská práva</w:t>
      </w:r>
      <w:r w:rsidRPr="00A31CDB">
        <w:br/>
        <w:t xml:space="preserve">ve </w:t>
      </w:r>
      <w:r w:rsidRPr="00A31CDB">
        <w:rPr>
          <w:iCs/>
        </w:rPr>
        <w:t>věc</w:t>
      </w:r>
      <w:r w:rsidR="00134873">
        <w:rPr>
          <w:iCs/>
        </w:rPr>
        <w:t>ech</w:t>
      </w:r>
      <w:r w:rsidRPr="00A31CDB">
        <w:t xml:space="preserve"> č. </w:t>
      </w:r>
      <w:r w:rsidR="00134873">
        <w:t>37782</w:t>
      </w:r>
      <w:r w:rsidR="00134873" w:rsidRPr="00C706A7">
        <w:t>/</w:t>
      </w:r>
      <w:proofErr w:type="gramStart"/>
      <w:r w:rsidR="00134873">
        <w:t xml:space="preserve">21 </w:t>
      </w:r>
      <w:r w:rsidR="00EF7BC0" w:rsidRPr="00E127E5">
        <w:rPr>
          <w:lang w:val="en-GB"/>
        </w:rPr>
        <w:t>–</w:t>
      </w:r>
      <w:r w:rsidR="00EF7BC0">
        <w:rPr>
          <w:lang w:val="en-GB"/>
        </w:rPr>
        <w:t xml:space="preserve"> </w:t>
      </w:r>
      <w:r w:rsidR="00134873">
        <w:rPr>
          <w:i/>
        </w:rPr>
        <w:t>Z</w:t>
      </w:r>
      <w:proofErr w:type="gramEnd"/>
      <w:r w:rsidRPr="00A31CDB">
        <w:rPr>
          <w:i/>
        </w:rPr>
        <w:t xml:space="preserve"> proti České republice</w:t>
      </w:r>
    </w:p>
    <w:p w14:paraId="6FDC7AE2" w14:textId="77777777" w:rsidR="004800B1" w:rsidRDefault="00134873" w:rsidP="00134873">
      <w:pPr>
        <w:pStyle w:val="Nadpishlavn"/>
        <w:rPr>
          <w:i/>
        </w:rPr>
      </w:pPr>
      <w:r>
        <w:rPr>
          <w:i/>
        </w:rPr>
        <w:t xml:space="preserve">a </w:t>
      </w:r>
      <w:r>
        <w:t>10145</w:t>
      </w:r>
      <w:r w:rsidRPr="00C706A7">
        <w:t>/</w:t>
      </w:r>
      <w:proofErr w:type="gramStart"/>
      <w:r>
        <w:t xml:space="preserve">22 </w:t>
      </w:r>
      <w:r w:rsidRPr="00134873">
        <w:t xml:space="preserve">– </w:t>
      </w:r>
      <w:r>
        <w:rPr>
          <w:i/>
        </w:rPr>
        <w:t>Y</w:t>
      </w:r>
      <w:proofErr w:type="gramEnd"/>
      <w:r w:rsidRPr="00A31CDB">
        <w:rPr>
          <w:i/>
        </w:rPr>
        <w:t xml:space="preserve"> proti České republice</w:t>
      </w:r>
    </w:p>
    <w:p w14:paraId="17CD56AB" w14:textId="6099303D" w:rsidR="00D458A5" w:rsidRPr="00134873" w:rsidRDefault="00D458A5" w:rsidP="00134873">
      <w:pPr>
        <w:pStyle w:val="Nadpishlavn"/>
        <w:rPr>
          <w:i/>
        </w:rPr>
      </w:pPr>
      <w:r w:rsidRPr="00A31CDB">
        <w:br/>
        <w:t>A</w:t>
      </w:r>
      <w:r w:rsidR="004800B1">
        <w:t>ktualizovaný a</w:t>
      </w:r>
      <w:r w:rsidRPr="00A31CDB">
        <w:t xml:space="preserve">kční </w:t>
      </w:r>
      <w:r w:rsidR="004800B1">
        <w:t>plán</w:t>
      </w:r>
      <w:r w:rsidRPr="00A31CDB">
        <w:t xml:space="preserve"> předložen</w:t>
      </w:r>
      <w:r w:rsidR="004800B1">
        <w:t>ý</w:t>
      </w:r>
      <w:r w:rsidRPr="00A31CDB">
        <w:t xml:space="preserve"> vládou České republiky dne </w:t>
      </w:r>
      <w:r w:rsidR="004800B1">
        <w:t>30</w:t>
      </w:r>
      <w:r w:rsidRPr="00A31CDB">
        <w:t>. září 202</w:t>
      </w:r>
      <w:r w:rsidR="004800B1">
        <w:t>6</w:t>
      </w:r>
    </w:p>
    <w:p w14:paraId="3B82A095" w14:textId="77777777" w:rsidR="00D458A5" w:rsidRPr="00A31CDB" w:rsidRDefault="00D458A5" w:rsidP="00D458A5">
      <w:pPr>
        <w:pStyle w:val="Textodstavce"/>
      </w:pPr>
    </w:p>
    <w:p w14:paraId="59061798" w14:textId="4E532F97" w:rsidR="00134873" w:rsidRDefault="00D458A5" w:rsidP="00134873">
      <w:pPr>
        <w:pStyle w:val="Textodstavce"/>
      </w:pPr>
      <w:r w:rsidRPr="00A31CDB">
        <w:t>V rozsud</w:t>
      </w:r>
      <w:r w:rsidR="00134873">
        <w:t>cích</w:t>
      </w:r>
      <w:r w:rsidRPr="00A31CDB">
        <w:t xml:space="preserve"> </w:t>
      </w:r>
      <w:r w:rsidR="00134873">
        <w:t xml:space="preserve">ve věci </w:t>
      </w:r>
      <w:r w:rsidR="00134873" w:rsidRPr="00134873">
        <w:rPr>
          <w:i/>
          <w:iCs/>
        </w:rPr>
        <w:t>Z proti České republice</w:t>
      </w:r>
      <w:r w:rsidR="00134873">
        <w:t xml:space="preserve"> ze dne 20. června 2024 a </w:t>
      </w:r>
      <w:r w:rsidR="00134873">
        <w:rPr>
          <w:i/>
          <w:iCs/>
        </w:rPr>
        <w:t>Y</w:t>
      </w:r>
      <w:r w:rsidR="00134873" w:rsidRPr="00134873">
        <w:rPr>
          <w:i/>
          <w:iCs/>
        </w:rPr>
        <w:t> proti České republice</w:t>
      </w:r>
      <w:r w:rsidR="00134873">
        <w:rPr>
          <w:i/>
          <w:iCs/>
        </w:rPr>
        <w:t xml:space="preserve"> </w:t>
      </w:r>
      <w:r w:rsidR="00134873">
        <w:t>ze dne 12. prosince 2024</w:t>
      </w:r>
      <w:r w:rsidRPr="00A31CDB">
        <w:t>, kter</w:t>
      </w:r>
      <w:r w:rsidR="00134873">
        <w:t>é</w:t>
      </w:r>
      <w:r w:rsidRPr="00A31CDB">
        <w:t xml:space="preserve"> nabyl</w:t>
      </w:r>
      <w:r w:rsidR="00134873">
        <w:t>y</w:t>
      </w:r>
      <w:r w:rsidRPr="00A31CDB">
        <w:t xml:space="preserve"> právní moci v souladu s článkem 44 odst. 2 písm. b) Úmluvy, Evropský soud pro lidská práva (dále jen "Soud") rozhodl, že došlo k porušení článk</w:t>
      </w:r>
      <w:r w:rsidR="00134873">
        <w:t>ů</w:t>
      </w:r>
      <w:r w:rsidRPr="00A31CDB">
        <w:t xml:space="preserve"> </w:t>
      </w:r>
      <w:r w:rsidR="00134873">
        <w:t>3 a 8</w:t>
      </w:r>
      <w:r w:rsidRPr="00A31CDB">
        <w:t xml:space="preserve"> Úmluvy v</w:t>
      </w:r>
      <w:r w:rsidR="00134873">
        <w:t> důsledku toho, že vnitrostátní orgány účinně neuplatnily trestněprávní systém způsobilý potrestat nekonsenzuální sexuální akty. Soud zejména zdůraznil, že orgány se dostatečně nezabývaly možností, že stěžovatelky mohly být v situaci zvláštní zranitelnosti a závislosti ve vztahu k údajným pachatelům; v obou případech se přitom jednalo o katolické kněze.</w:t>
      </w:r>
    </w:p>
    <w:p w14:paraId="42334424" w14:textId="65C9C634" w:rsidR="00D458A5" w:rsidRPr="00A31CDB" w:rsidRDefault="00134873" w:rsidP="00134873">
      <w:pPr>
        <w:pStyle w:val="Textodstavce"/>
      </w:pPr>
      <w:r>
        <w:t>T</w:t>
      </w:r>
      <w:r w:rsidR="00201AB7">
        <w:t>en</w:t>
      </w:r>
      <w:r>
        <w:t>to aktualizovan</w:t>
      </w:r>
      <w:r w:rsidR="00201AB7">
        <w:t>ý</w:t>
      </w:r>
      <w:r>
        <w:t xml:space="preserve"> akční </w:t>
      </w:r>
      <w:r w:rsidR="00201AB7">
        <w:t>pl</w:t>
      </w:r>
      <w:r>
        <w:t>á</w:t>
      </w:r>
      <w:r w:rsidR="00201AB7">
        <w:t>n</w:t>
      </w:r>
      <w:r>
        <w:t xml:space="preserve"> se vztahuje na oba tyto rozsudky a </w:t>
      </w:r>
      <w:r w:rsidR="004800B1">
        <w:t>j</w:t>
      </w:r>
      <w:r>
        <w:t xml:space="preserve">ejím cílem je </w:t>
      </w:r>
      <w:r w:rsidR="00D458A5" w:rsidRPr="00A31CDB">
        <w:t xml:space="preserve">informovat Výbor ministrů o </w:t>
      </w:r>
      <w:r w:rsidR="00EF7BC0">
        <w:t>individuální</w:t>
      </w:r>
      <w:r w:rsidR="00D458A5" w:rsidRPr="00A31CDB">
        <w:t>ch i obecných opatřeních, která byla p</w:t>
      </w:r>
      <w:r w:rsidR="00F572F8">
        <w:t>řijata</w:t>
      </w:r>
      <w:r w:rsidR="00D458A5" w:rsidRPr="00A31CDB">
        <w:t xml:space="preserve"> za účelem řádného výkonu výše uveden</w:t>
      </w:r>
      <w:r>
        <w:t>ých</w:t>
      </w:r>
      <w:r w:rsidR="00D458A5" w:rsidRPr="00A31CDB">
        <w:t xml:space="preserve"> rozsudk</w:t>
      </w:r>
      <w:r>
        <w:t>ů</w:t>
      </w:r>
      <w:r w:rsidR="00D458A5" w:rsidRPr="00A31CDB">
        <w:t>.</w:t>
      </w:r>
    </w:p>
    <w:p w14:paraId="43C9FD68" w14:textId="77777777" w:rsidR="00D458A5" w:rsidRPr="00A31CDB" w:rsidRDefault="00D458A5" w:rsidP="00D458A5">
      <w:pPr>
        <w:pStyle w:val="Nadpissti"/>
      </w:pPr>
      <w:r w:rsidRPr="00A31CDB">
        <w:t>I. Individuální opatření</w:t>
      </w:r>
    </w:p>
    <w:p w14:paraId="370B60F0" w14:textId="3370044E" w:rsidR="00D458A5" w:rsidRPr="00A31CDB" w:rsidRDefault="00134873" w:rsidP="00134873">
      <w:pPr>
        <w:pStyle w:val="Textodstavce"/>
      </w:pPr>
      <w:r>
        <w:t xml:space="preserve">Ve věci </w:t>
      </w:r>
      <w:r w:rsidRPr="00134873">
        <w:rPr>
          <w:i/>
          <w:iCs/>
        </w:rPr>
        <w:t>Z proti České republice</w:t>
      </w:r>
      <w:r>
        <w:rPr>
          <w:i/>
          <w:iCs/>
        </w:rPr>
        <w:t xml:space="preserve"> </w:t>
      </w:r>
      <w:r>
        <w:t xml:space="preserve">bylo </w:t>
      </w:r>
      <w:r w:rsidR="00D458A5" w:rsidRPr="00A31CDB">
        <w:t>Soudem přiznané spravedlivé zadostiučinění ve výši 2</w:t>
      </w:r>
      <w:r>
        <w:t>6</w:t>
      </w:r>
      <w:r w:rsidR="00D458A5" w:rsidRPr="00A31CDB">
        <w:t xml:space="preserve"> 000 </w:t>
      </w:r>
      <w:r>
        <w:t>eur</w:t>
      </w:r>
      <w:r w:rsidR="00D458A5" w:rsidRPr="00A31CDB">
        <w:t xml:space="preserve"> </w:t>
      </w:r>
      <w:r w:rsidR="00F572F8">
        <w:t>stěžovatelce</w:t>
      </w:r>
      <w:r w:rsidR="00D458A5" w:rsidRPr="00A31CDB">
        <w:t xml:space="preserve"> vyplaceno dne </w:t>
      </w:r>
      <w:r>
        <w:t>8</w:t>
      </w:r>
      <w:r w:rsidR="00D458A5" w:rsidRPr="00A31CDB">
        <w:t xml:space="preserve">. </w:t>
      </w:r>
      <w:r>
        <w:t>listopadu</w:t>
      </w:r>
      <w:r w:rsidR="00D458A5" w:rsidRPr="00A31CDB">
        <w:t xml:space="preserve"> 2024.</w:t>
      </w:r>
      <w:r>
        <w:t xml:space="preserve"> Ve věci </w:t>
      </w:r>
      <w:r>
        <w:rPr>
          <w:i/>
          <w:iCs/>
        </w:rPr>
        <w:t>Y</w:t>
      </w:r>
      <w:r w:rsidRPr="00134873">
        <w:rPr>
          <w:i/>
          <w:iCs/>
        </w:rPr>
        <w:t> proti České republice</w:t>
      </w:r>
      <w:r>
        <w:rPr>
          <w:i/>
          <w:iCs/>
        </w:rPr>
        <w:t xml:space="preserve"> </w:t>
      </w:r>
      <w:r>
        <w:t xml:space="preserve">bylo </w:t>
      </w:r>
      <w:r w:rsidRPr="00A31CDB">
        <w:t>Soudem přiznané spravedlivé zadostiučinění ve výši 2</w:t>
      </w:r>
      <w:r>
        <w:t>9</w:t>
      </w:r>
      <w:r w:rsidRPr="00A31CDB">
        <w:t xml:space="preserve"> 000 </w:t>
      </w:r>
      <w:r>
        <w:t>eur</w:t>
      </w:r>
      <w:r w:rsidRPr="00A31CDB">
        <w:t xml:space="preserve"> </w:t>
      </w:r>
      <w:r>
        <w:t>stěžovatelce</w:t>
      </w:r>
      <w:r w:rsidRPr="00A31CDB">
        <w:t xml:space="preserve"> vyplaceno dne </w:t>
      </w:r>
      <w:r>
        <w:t>3</w:t>
      </w:r>
      <w:r w:rsidRPr="00A31CDB">
        <w:t xml:space="preserve">. </w:t>
      </w:r>
      <w:r>
        <w:t>června</w:t>
      </w:r>
      <w:r w:rsidRPr="00A31CDB">
        <w:t xml:space="preserve"> 202</w:t>
      </w:r>
      <w:r>
        <w:t>5</w:t>
      </w:r>
      <w:r w:rsidRPr="00A31CDB">
        <w:t>.</w:t>
      </w:r>
      <w:r w:rsidR="00D458A5" w:rsidRPr="00A31CDB">
        <w:rPr>
          <w:rStyle w:val="Znakapoznpodarou"/>
        </w:rPr>
        <w:footnoteReference w:id="1"/>
      </w:r>
    </w:p>
    <w:p w14:paraId="29DF5055" w14:textId="5E29B1EF" w:rsidR="00134873" w:rsidRDefault="00D458A5" w:rsidP="00D458A5">
      <w:pPr>
        <w:pStyle w:val="Textodstavce"/>
      </w:pPr>
      <w:r w:rsidRPr="00A31CDB">
        <w:t xml:space="preserve">Vláda připomíná, že zákon o Ústavním soudu nabízí možnost požádat o obnovu řízení před Ústavním soudem </w:t>
      </w:r>
      <w:r w:rsidR="00F572F8">
        <w:t>v návaznosti na</w:t>
      </w:r>
      <w:r w:rsidRPr="00A31CDB">
        <w:t xml:space="preserve"> vydání rozhodnutí</w:t>
      </w:r>
      <w:r w:rsidR="00F572F8">
        <w:t xml:space="preserve"> Soudu</w:t>
      </w:r>
      <w:r w:rsidRPr="00A31CDB">
        <w:t>.</w:t>
      </w:r>
      <w:r w:rsidRPr="00A31CDB">
        <w:rPr>
          <w:rStyle w:val="Znakapoznpodarou"/>
        </w:rPr>
        <w:footnoteReference w:id="2"/>
      </w:r>
      <w:r w:rsidRPr="00A31CDB">
        <w:t xml:space="preserve"> </w:t>
      </w:r>
      <w:r w:rsidR="004800B1">
        <w:t>Obě stěžovatelky tuto žádost podaly.</w:t>
      </w:r>
    </w:p>
    <w:p w14:paraId="075E4C82" w14:textId="764D11C1" w:rsidR="004800B1" w:rsidRPr="004800B1" w:rsidRDefault="004800B1" w:rsidP="004800B1">
      <w:pPr>
        <w:pStyle w:val="Nadpispodsti"/>
        <w:spacing w:before="300"/>
        <w:rPr>
          <w:i/>
          <w:iCs/>
          <w:u w:val="none"/>
        </w:rPr>
      </w:pPr>
      <w:r w:rsidRPr="004800B1">
        <w:rPr>
          <w:i/>
          <w:iCs/>
          <w:u w:val="none"/>
        </w:rPr>
        <w:t>A. obnova řízení ve věci Z</w:t>
      </w:r>
    </w:p>
    <w:p w14:paraId="2F442D3A" w14:textId="201BF216" w:rsidR="00134873" w:rsidRDefault="00134873" w:rsidP="00D458A5">
      <w:pPr>
        <w:pStyle w:val="Textodstavce"/>
      </w:pPr>
      <w:r>
        <w:t>Stěžovatelka</w:t>
      </w:r>
      <w:r w:rsidR="00692DAC">
        <w:t xml:space="preserve"> ve věci </w:t>
      </w:r>
      <w:r w:rsidR="00692DAC" w:rsidRPr="00134873">
        <w:rPr>
          <w:i/>
          <w:iCs/>
        </w:rPr>
        <w:t>Z proti České republice</w:t>
      </w:r>
      <w:r w:rsidR="00692DAC">
        <w:rPr>
          <w:i/>
          <w:iCs/>
        </w:rPr>
        <w:t xml:space="preserve"> </w:t>
      </w:r>
      <w:r w:rsidR="00692DAC">
        <w:t xml:space="preserve">tuto možnost využila v lednu 2025. V květnu 2025 Ústavní soud </w:t>
      </w:r>
      <w:hyperlink r:id="rId8" w:history="1">
        <w:r w:rsidR="00692DAC" w:rsidRPr="00692DAC">
          <w:rPr>
            <w:rStyle w:val="Hypertextovodkaz"/>
          </w:rPr>
          <w:t>rozhodl</w:t>
        </w:r>
      </w:hyperlink>
      <w:r w:rsidR="00692DAC">
        <w:t xml:space="preserve"> o obnově řízení v její věci a v červenci 2025 v tomto obnoveném řízení </w:t>
      </w:r>
      <w:hyperlink r:id="rId9" w:history="1">
        <w:r w:rsidR="00692DAC" w:rsidRPr="00692DAC">
          <w:rPr>
            <w:rStyle w:val="Hypertextovodkaz"/>
          </w:rPr>
          <w:t>konstatoval</w:t>
        </w:r>
      </w:hyperlink>
      <w:r w:rsidR="00692DAC">
        <w:t>, že základní práva stěžovatelky byla porušena příslušnými rozhodnutími policejního orgánu a státního zastupitelství, přičemž tato rozhodnutí zrušil a vrátil věc k dalšímu vyšetřování.</w:t>
      </w:r>
    </w:p>
    <w:p w14:paraId="74CAC028" w14:textId="250CD2C4" w:rsidR="00040090" w:rsidRDefault="00040090" w:rsidP="00D458A5">
      <w:pPr>
        <w:pStyle w:val="Textodstavce"/>
      </w:pPr>
      <w:r>
        <w:t xml:space="preserve">V září 2025 příslušný policejní orgán vyslechl stěžovatelku i podezřelého. V listopadu 2025 policejní orgán vydal rozhodnutí o odložení věci. V něm se uvádí, že na </w:t>
      </w:r>
      <w:r>
        <w:lastRenderedPageBreak/>
        <w:t>základě provedených důkazů lze uzavřít, že stěžovatelka se vůči podezřelému nenacházela ve vztahu závislosti ani bezbrannosti, a že podezřelý nemohl z jejího chování vyvodit, že se sexuálním vztahem mezi nimi nesouhlasila. Dané skutky proto není možné klasifikovat jako trestné podle právní úpravy účinné v předmětné době.</w:t>
      </w:r>
    </w:p>
    <w:p w14:paraId="7721AF41" w14:textId="5BB1F033" w:rsidR="00040090" w:rsidRDefault="00040090" w:rsidP="00D458A5">
      <w:pPr>
        <w:pStyle w:val="Textodstavce"/>
      </w:pPr>
      <w:r>
        <w:t>V prosinci 2025 obvodní státní zastupitelství zamítlo stížnost stěžovatelky proti tomuto rozhodnutí. Následně stěžovatelka podala podnět k přezkoumání postupu nižšího státního zastupitelství.</w:t>
      </w:r>
    </w:p>
    <w:p w14:paraId="6C3F7A20" w14:textId="64DF6E6C" w:rsidR="00040090" w:rsidRDefault="00040090" w:rsidP="00D458A5">
      <w:pPr>
        <w:pStyle w:val="Textodstavce"/>
      </w:pPr>
      <w:r>
        <w:t xml:space="preserve">V březnu 2026 městské státní zastupitelství zaslalo stěžovatelce vyrozumění o výsledku přezkumu, kde ji informovalo, že </w:t>
      </w:r>
      <w:r w:rsidR="00CF69EA">
        <w:t xml:space="preserve">přezkoumalo spis a shledalo, že dosavadní průběh prověřování nelze považovat za dostatečný a souladný se závěry nálezu Ústavního soudu v její věci. </w:t>
      </w:r>
      <w:r w:rsidR="009F339F">
        <w:t>Policejní orgán zejména neměl založit své závěry toliko na výpovědích stěžovatelky a podezřelého, ale měl také zadat vypracování znaleckého posudku za účelem posouzení povahy vztahu mezi stěžovatelkou a podezřelým během relevantního období, jakož i jeho nábožensk</w:t>
      </w:r>
      <w:r w:rsidR="0084553E">
        <w:t>ého</w:t>
      </w:r>
      <w:r w:rsidR="009F339F">
        <w:t xml:space="preserve"> rozměr</w:t>
      </w:r>
      <w:r w:rsidR="0084553E">
        <w:t>u</w:t>
      </w:r>
      <w:r w:rsidR="009F339F">
        <w:t xml:space="preserve"> a případn</w:t>
      </w:r>
      <w:r w:rsidR="0084553E">
        <w:t>é</w:t>
      </w:r>
      <w:r w:rsidR="009F339F">
        <w:t xml:space="preserve"> asymetri</w:t>
      </w:r>
      <w:r w:rsidR="0084553E">
        <w:t>e</w:t>
      </w:r>
      <w:r w:rsidR="009F339F">
        <w:t>, a který by se zabýval potenciálními faktory zvláštní zranitelnosti na straně stěžovatelky, včetně jejích předchozích traumatických zkušeností. Městské státní zastupitelství proto věc vrátilo policejnímu orgánu k dalšímu prověřování.</w:t>
      </w:r>
    </w:p>
    <w:p w14:paraId="74C60B38" w14:textId="7716F3DA" w:rsidR="009F339F" w:rsidRDefault="009F339F" w:rsidP="00D458A5">
      <w:pPr>
        <w:pStyle w:val="Textodstavce"/>
      </w:pPr>
      <w:r>
        <w:t>V dubnu 2026 policejní orgán zadal vypracování nového znaleckého posudku v oblasti psychologie a psychiatrie, přičemž znalcům položil 22 otázek, včetně toho, zda se u stěžovatelky v důsledku vyšetřované události projevila posttraumatická stresová porucha, jaká byla dynamika vztahu mezi stěžovatelkou a podezřelým při zohlednění specifického církevního, náboženského a univerzitního kontextu, a které psychologické faktory mohly ovlivnit chování stěžovatelky vůči podezřelému. Lhůta pro vypracování posudku byla stanovena na 30. listopadu 2026.</w:t>
      </w:r>
    </w:p>
    <w:p w14:paraId="02167E15" w14:textId="5F9E32A4" w:rsidR="009F339F" w:rsidRDefault="009F339F" w:rsidP="00D458A5">
      <w:pPr>
        <w:pStyle w:val="Textodstavce"/>
      </w:pPr>
      <w:r>
        <w:t>V květnu a červnu 2026 policejní orgán provedl další vyšetřovací úkony, jako výslech čtyř svědků</w:t>
      </w:r>
      <w:r w:rsidR="00D11E34">
        <w:t xml:space="preserve"> souvisejících s případem a pocházejících z církevního prostředí. Dále policejní orgán požádal řeholní řád, jehož je podezřelý členem, o poskytnutí informací o tom, jak tento řád reagoval na tvrzení o sexuálním zneužívání, které vůči podezřelému vznesla stěžovatelka. Ve své odpovědi řeholní řád policejnímu orgánu mj. sdělil, že po rozhodnutí Ústavního soudu z roku 2025 o obnově řízení nařídil podezřelému, aby přesídlil z kláštera v Itálii zpátky do České republiky, a mohl tak plně spolupracovat s orgány činnými v trestním řízení. Rovněž</w:t>
      </w:r>
      <w:r w:rsidR="002E083A">
        <w:t xml:space="preserve"> mu jakožto knězi pozastavil výkon veřejné služby a zahájil vůči němu kanonické řízení, které doposud probíhá. A konečně, v roce 2025 zveřejnil </w:t>
      </w:r>
      <w:r w:rsidR="00981319">
        <w:t xml:space="preserve">řád </w:t>
      </w:r>
      <w:r w:rsidR="002E083A">
        <w:t>na své webové stránce výzvu, aby je</w:t>
      </w:r>
      <w:r w:rsidR="00981319">
        <w:t>j</w:t>
      </w:r>
      <w:r w:rsidR="002E083A">
        <w:t xml:space="preserve"> kontaktoval</w:t>
      </w:r>
      <w:r w:rsidR="00981319">
        <w:t>y</w:t>
      </w:r>
      <w:r w:rsidR="002E083A">
        <w:t xml:space="preserve"> další potenciální oběti podezřelého, ale zatím nikdo nereagoval.</w:t>
      </w:r>
    </w:p>
    <w:p w14:paraId="29CCC5C7" w14:textId="6EC6F796" w:rsidR="004800B1" w:rsidRPr="004800B1" w:rsidRDefault="004800B1" w:rsidP="004800B1">
      <w:pPr>
        <w:pStyle w:val="Nadpispodsti"/>
        <w:spacing w:before="300"/>
        <w:rPr>
          <w:i/>
          <w:iCs/>
          <w:u w:val="none"/>
        </w:rPr>
      </w:pPr>
      <w:r>
        <w:rPr>
          <w:i/>
          <w:iCs/>
          <w:u w:val="none"/>
        </w:rPr>
        <w:t>B</w:t>
      </w:r>
      <w:r w:rsidRPr="004800B1">
        <w:rPr>
          <w:i/>
          <w:iCs/>
          <w:u w:val="none"/>
        </w:rPr>
        <w:t xml:space="preserve">. obnova řízení ve věci </w:t>
      </w:r>
      <w:r>
        <w:rPr>
          <w:i/>
          <w:iCs/>
          <w:u w:val="none"/>
        </w:rPr>
        <w:t>Y</w:t>
      </w:r>
    </w:p>
    <w:p w14:paraId="636ED756" w14:textId="6489AF4F" w:rsidR="004800B1" w:rsidRPr="004800B1" w:rsidRDefault="004800B1" w:rsidP="004800B1">
      <w:pPr>
        <w:pStyle w:val="Nadpisoddlu"/>
        <w:numPr>
          <w:ilvl w:val="0"/>
          <w:numId w:val="6"/>
        </w:numPr>
        <w:spacing w:before="300"/>
        <w:ind w:left="714" w:hanging="357"/>
      </w:pPr>
      <w:r w:rsidRPr="004800B1">
        <w:t>Trestní řízení</w:t>
      </w:r>
    </w:p>
    <w:p w14:paraId="01BAB499" w14:textId="77777777" w:rsidR="002E083A" w:rsidRDefault="00692DAC" w:rsidP="002E083A">
      <w:pPr>
        <w:pStyle w:val="Textodstavce"/>
      </w:pPr>
      <w:r>
        <w:t xml:space="preserve">Stěžovatelka ve věci </w:t>
      </w:r>
      <w:r>
        <w:rPr>
          <w:i/>
          <w:iCs/>
        </w:rPr>
        <w:t>Y</w:t>
      </w:r>
      <w:r w:rsidRPr="00134873">
        <w:rPr>
          <w:i/>
          <w:iCs/>
        </w:rPr>
        <w:t> proti České republice</w:t>
      </w:r>
      <w:r>
        <w:rPr>
          <w:i/>
          <w:iCs/>
        </w:rPr>
        <w:t xml:space="preserve"> </w:t>
      </w:r>
      <w:r>
        <w:t xml:space="preserve">podala </w:t>
      </w:r>
      <w:r w:rsidR="00AB6DAD">
        <w:t>návrh na</w:t>
      </w:r>
      <w:r>
        <w:t xml:space="preserve"> obnovu řízení v červnu 2025</w:t>
      </w:r>
      <w:r w:rsidR="002E083A">
        <w:t xml:space="preserve">. V září 2025 Ústavní soud </w:t>
      </w:r>
      <w:hyperlink r:id="rId10" w:history="1">
        <w:r w:rsidR="002E083A" w:rsidRPr="002E083A">
          <w:rPr>
            <w:rStyle w:val="Hypertextovodkaz"/>
          </w:rPr>
          <w:t>rozhodl</w:t>
        </w:r>
      </w:hyperlink>
      <w:r w:rsidR="002E083A">
        <w:t xml:space="preserve"> o obnově řízení v její věci a v lednu 2026 v tomto obnoveném řízení </w:t>
      </w:r>
      <w:hyperlink r:id="rId11" w:history="1">
        <w:r w:rsidR="002E083A" w:rsidRPr="002E083A">
          <w:rPr>
            <w:rStyle w:val="Hypertextovodkaz"/>
          </w:rPr>
          <w:t>konstatoval</w:t>
        </w:r>
      </w:hyperlink>
      <w:r w:rsidR="002E083A">
        <w:t xml:space="preserve">, že </w:t>
      </w:r>
      <w:r w:rsidR="002E083A">
        <w:t>základní práva stěžovatelky byla porušena příslušnými rozhodnutími policejního orgánu a státního zastupitelství, přičemž tato rozhodnutí zrušil a vrátil věc k dalšímu vyšetřování.</w:t>
      </w:r>
    </w:p>
    <w:p w14:paraId="665259A2" w14:textId="31E5251E" w:rsidR="002E083A" w:rsidRDefault="002E083A" w:rsidP="002E083A">
      <w:pPr>
        <w:pStyle w:val="Textodstavce"/>
      </w:pPr>
      <w:r>
        <w:t xml:space="preserve">V návaznosti na toto rozhodnutí </w:t>
      </w:r>
      <w:r>
        <w:t>obvodní státní zastupitelství</w:t>
      </w:r>
      <w:r>
        <w:t xml:space="preserve"> vypracovalo pokyny pro příslušný policejní orgán ohledně toho, jak pokračovat v dalším prověřování. Zejména policejní </w:t>
      </w:r>
      <w:r>
        <w:lastRenderedPageBreak/>
        <w:t xml:space="preserve">orgán instruovalo, aby si vyžádal relevantní informace od církevních orgánů, a to od Biskupství litoměřického a Arcibiskupství pražského, včetně podrobností o tom, jak tyto církevní orgány reagovaly na tvrzení o sexuálním zneužívání, které vůči danému knězi v minulosti vznesla stěžovatelka. </w:t>
      </w:r>
      <w:r w:rsidR="0084553E">
        <w:t>Aktuálně</w:t>
      </w:r>
      <w:r>
        <w:t xml:space="preserve"> církevní </w:t>
      </w:r>
      <w:r w:rsidR="0084553E">
        <w:t xml:space="preserve">orgány vyhledávají tyto informace mezi archivními dokumenty, což je komplikováno skutečností, že případ se týká tvrzeného sexuálního zneužívání, které sahá až do roku 2002. Obvodní státní zastupitelství dále instruovalo policejní orgán, aby provedl nový výslech podezřelého i stěžovatelky, a rovněž zadal </w:t>
      </w:r>
      <w:r w:rsidR="0084553E">
        <w:t>vypracování nového znaleckého posudku v oblasti psychologie a psychiatrie</w:t>
      </w:r>
      <w:r w:rsidR="0084553E">
        <w:t>. Lhůta pro provedení výše zmíněných vyšetřovacích úkonů byla obvodním státním zastupitelstvím stanovena na 2. října 2026.</w:t>
      </w:r>
    </w:p>
    <w:p w14:paraId="100F3BF7" w14:textId="03C18791" w:rsidR="004800B1" w:rsidRPr="004800B1" w:rsidRDefault="004800B1" w:rsidP="004800B1">
      <w:pPr>
        <w:pStyle w:val="Nadpisoddlu"/>
        <w:numPr>
          <w:ilvl w:val="0"/>
          <w:numId w:val="6"/>
        </w:numPr>
        <w:spacing w:before="300"/>
        <w:ind w:left="714" w:hanging="357"/>
      </w:pPr>
      <w:r>
        <w:t>Civil</w:t>
      </w:r>
      <w:r w:rsidRPr="004800B1">
        <w:t>ní řízení</w:t>
      </w:r>
    </w:p>
    <w:p w14:paraId="7FBC7D9B" w14:textId="2457D194" w:rsidR="00CA469D" w:rsidRDefault="00692DAC" w:rsidP="00CA469D">
      <w:pPr>
        <w:pStyle w:val="Textodstavce"/>
      </w:pPr>
      <w:r>
        <w:t xml:space="preserve">V srpnu 2025 navíc Ústavní soud vydal nález týkající se kompenzačního řízení zahájeného stěžovatelkou ve věci </w:t>
      </w:r>
      <w:r>
        <w:rPr>
          <w:i/>
          <w:iCs/>
        </w:rPr>
        <w:t>Y</w:t>
      </w:r>
      <w:r w:rsidRPr="00134873">
        <w:rPr>
          <w:i/>
          <w:iCs/>
        </w:rPr>
        <w:t> proti České republice</w:t>
      </w:r>
      <w:r>
        <w:rPr>
          <w:i/>
          <w:iCs/>
        </w:rPr>
        <w:t xml:space="preserve"> </w:t>
      </w:r>
      <w:r>
        <w:t>v roce 2022; v tomto řízení stěžovatelka žádala o náhradu nemajetkové újmy podle zákona č. 82/1998 Sb., o odpovědnosti státu za škodu, v souvislosti s rozhodnutím policejního orgánu o odložení věci. Její žaloba byla obecnými soudy zamítnuta z důvodu promlčení, a to na základě argumentu, že pakliže stěžovatelka tvrdí nesprávný úřední postup ze strany policejního orgánu, spočívající v nenaplnění povinnosti provést účinné vyšetřování, šestiměsíč</w:t>
      </w:r>
      <w:r w:rsidR="00AB6DAD">
        <w:t xml:space="preserve">ní lhůta pro vznesení tohoto nároku (zakotvená zákonem č. 82/1998 Sb.) začala plynout v okamžiku, kdy bylo rozhodnutí policejního orgánu o odložení věci doručeno stěžovatelce, tj. už v roce 2017, zatímco stěžovatelka vznesla kompenzační nárok vůči státu až v roce 2022. Ústavní soud ve svém </w:t>
      </w:r>
      <w:hyperlink r:id="rId12" w:history="1">
        <w:r w:rsidR="00AB6DAD" w:rsidRPr="00AB6DAD">
          <w:rPr>
            <w:rStyle w:val="Hypertextovodkaz"/>
          </w:rPr>
          <w:t>nálezu</w:t>
        </w:r>
      </w:hyperlink>
      <w:r w:rsidR="00AB6DAD">
        <w:t xml:space="preserve"> shledal, že rozhodnutí obecných soudů porušil</w:t>
      </w:r>
      <w:r w:rsidR="00CA469D">
        <w:t>a</w:t>
      </w:r>
      <w:r w:rsidR="00AB6DAD">
        <w:t xml:space="preserve"> právo stěžovatelky na náhradu škody způsobené státem, jelikož lhůta pro uplatnění nátoku začne v jejím případě plynout až poté, co Ústavní soud rozhodne o </w:t>
      </w:r>
      <w:r w:rsidR="00CA469D">
        <w:t xml:space="preserve">jejím </w:t>
      </w:r>
      <w:r w:rsidR="00AB6DAD">
        <w:t>výše zmíněném</w:t>
      </w:r>
      <w:r w:rsidR="00CA469D">
        <w:t xml:space="preserve"> návrhu na obnovu řízení, protože teprve po jeho rozhodnutí bude jasné, v jakém rozsahu bylo právo stěžovatelky na účinné vyšetřování porušeno. </w:t>
      </w:r>
      <w:r w:rsidR="00CA469D" w:rsidRPr="00CA469D">
        <w:t xml:space="preserve">Skutečnost, že </w:t>
      </w:r>
      <w:r w:rsidR="00CA469D">
        <w:t>Soud</w:t>
      </w:r>
      <w:r w:rsidR="00CA469D" w:rsidRPr="00CA469D">
        <w:t xml:space="preserve"> již stěžovatelce přiznal náhradu nemajetkové újmy za porušení práva na účinné vyšetřování, </w:t>
      </w:r>
      <w:r w:rsidR="00CA469D">
        <w:t xml:space="preserve">dle Ústavního soudu </w:t>
      </w:r>
      <w:r w:rsidR="00CA469D" w:rsidRPr="00CA469D">
        <w:t>neznamená, že nárok uplatněný v civilním řízení je nepřípustný. Již poskytnutá náhrada však může být zohledněna při stanovení výše případného zadostiučinění v</w:t>
      </w:r>
      <w:r w:rsidR="00CA469D">
        <w:t>e vnitrostátním kompenzačním řízení.</w:t>
      </w:r>
    </w:p>
    <w:p w14:paraId="74BECBFD" w14:textId="0B8FEA83" w:rsidR="0084553E" w:rsidRDefault="0084553E" w:rsidP="00CA469D">
      <w:pPr>
        <w:pStyle w:val="Textodstavce"/>
      </w:pPr>
      <w:r>
        <w:t>V návaznosti na toto rozhodnutí obvodní soud v březnu 2026 rozhodl, že obnovení kompenzační řízení se přerušuje do pravomocného skončení obnoveného trestního řízení ve věci stěžovatelky (viz předchozí část tohoto aktualizovaného akčního plánu). V červnu 2026 odvolací soud tento rozsudek zrušil a věc vrátil obvodnímu soudu, přičemž ho instruoval, aby se zabýval otázkou příčinné souvislosti mezi porušením základních práv stěžovatelky, shledaným Ústavním soudem v trestním řízení, a nemajetkovou újmou, která jí měla v důsledku tohoto porušení vzniknout.</w:t>
      </w:r>
    </w:p>
    <w:p w14:paraId="33C5F537" w14:textId="77777777" w:rsidR="00D458A5" w:rsidRPr="00A31CDB" w:rsidRDefault="00D458A5" w:rsidP="00D458A5">
      <w:pPr>
        <w:pStyle w:val="Nadpissti"/>
      </w:pPr>
      <w:r w:rsidRPr="00A31CDB">
        <w:t>II. obecná opatření</w:t>
      </w:r>
    </w:p>
    <w:p w14:paraId="4C5D038A" w14:textId="7DED2D58" w:rsidR="00D458A5" w:rsidRPr="00A31CDB" w:rsidRDefault="00D458A5" w:rsidP="00D458A5">
      <w:pPr>
        <w:pStyle w:val="Nadpispodsti"/>
        <w:spacing w:before="360"/>
        <w:rPr>
          <w:i/>
          <w:iCs/>
          <w:u w:val="none"/>
        </w:rPr>
      </w:pPr>
      <w:r w:rsidRPr="00A31CDB">
        <w:rPr>
          <w:i/>
          <w:iCs/>
          <w:u w:val="none"/>
        </w:rPr>
        <w:t>A. Zvyšování povědomí a analýza rozsudk</w:t>
      </w:r>
      <w:r w:rsidR="00CA469D">
        <w:rPr>
          <w:i/>
          <w:iCs/>
          <w:u w:val="none"/>
        </w:rPr>
        <w:t>ů</w:t>
      </w:r>
    </w:p>
    <w:p w14:paraId="533DF02B" w14:textId="77777777" w:rsidR="00A96FB5" w:rsidRDefault="00D458A5" w:rsidP="00A96FB5">
      <w:pPr>
        <w:pStyle w:val="Textodstavce"/>
      </w:pPr>
      <w:r w:rsidRPr="00A31CDB">
        <w:t>Ministerstvo spravedlnosti informovalo veřejnost o rozsud</w:t>
      </w:r>
      <w:r w:rsidR="00CA469D">
        <w:t>cích</w:t>
      </w:r>
      <w:r w:rsidRPr="00A31CDB">
        <w:t xml:space="preserve"> bezprostředně po je</w:t>
      </w:r>
      <w:r w:rsidR="00CA469D">
        <w:t>jich</w:t>
      </w:r>
      <w:r w:rsidRPr="00A31CDB">
        <w:t xml:space="preserve"> vyhlášení</w:t>
      </w:r>
      <w:r w:rsidR="00CA469D">
        <w:t>ch</w:t>
      </w:r>
      <w:r w:rsidRPr="00A31CDB">
        <w:t xml:space="preserve"> form</w:t>
      </w:r>
      <w:r w:rsidR="00CA469D">
        <w:t>ou tiskových zpráv (</w:t>
      </w:r>
      <w:hyperlink r:id="rId13" w:history="1">
        <w:r w:rsidR="00CA469D" w:rsidRPr="00A96FB5">
          <w:rPr>
            <w:rStyle w:val="Hypertextovodkaz"/>
          </w:rPr>
          <w:t>zde</w:t>
        </w:r>
      </w:hyperlink>
      <w:r w:rsidR="00CA469D">
        <w:t xml:space="preserve"> a </w:t>
      </w:r>
      <w:hyperlink r:id="rId14" w:history="1">
        <w:r w:rsidR="00CA469D" w:rsidRPr="00A96FB5">
          <w:rPr>
            <w:rStyle w:val="Hypertextovodkaz"/>
          </w:rPr>
          <w:t>zde</w:t>
        </w:r>
      </w:hyperlink>
      <w:r w:rsidR="00CA469D">
        <w:t>).</w:t>
      </w:r>
      <w:r w:rsidR="00A96FB5">
        <w:t xml:space="preserve"> </w:t>
      </w:r>
      <w:r w:rsidRPr="00A31CDB">
        <w:t>Dále zveřejnilo česk</w:t>
      </w:r>
      <w:r w:rsidR="00A96FB5">
        <w:t>é</w:t>
      </w:r>
      <w:r w:rsidRPr="00A31CDB">
        <w:t xml:space="preserve"> překlad</w:t>
      </w:r>
      <w:r w:rsidR="00A96FB5">
        <w:t xml:space="preserve">y </w:t>
      </w:r>
      <w:r w:rsidRPr="00A31CDB">
        <w:t>rozsudk</w:t>
      </w:r>
      <w:r w:rsidR="00A96FB5">
        <w:t>ů</w:t>
      </w:r>
      <w:r w:rsidRPr="00A31CDB">
        <w:t xml:space="preserve"> ve své </w:t>
      </w:r>
      <w:r w:rsidRPr="00A31CDB">
        <w:lastRenderedPageBreak/>
        <w:t>internetové databázi mezinárodní lidskoprávní judikatury (</w:t>
      </w:r>
      <w:hyperlink r:id="rId15" w:history="1">
        <w:r w:rsidRPr="00A31CDB">
          <w:rPr>
            <w:rStyle w:val="Hypertextovodkaz"/>
          </w:rPr>
          <w:t>mezisoudy.cz</w:t>
        </w:r>
      </w:hyperlink>
      <w:r w:rsidRPr="00A31CDB">
        <w:t>)</w:t>
      </w:r>
      <w:r w:rsidRPr="00A31CDB">
        <w:rPr>
          <w:rStyle w:val="Znakapoznpodarou"/>
        </w:rPr>
        <w:footnoteReference w:id="3"/>
      </w:r>
      <w:r w:rsidRPr="00A31CDB">
        <w:t xml:space="preserve"> a je</w:t>
      </w:r>
      <w:r w:rsidR="00A96FB5">
        <w:t>jich</w:t>
      </w:r>
      <w:r w:rsidRPr="00A31CDB">
        <w:t xml:space="preserve"> </w:t>
      </w:r>
      <w:r w:rsidR="00A96FB5">
        <w:t>anotace</w:t>
      </w:r>
      <w:r w:rsidRPr="00A31CDB">
        <w:t xml:space="preserve"> ve Zpravodaji vládního zmocněnce č. </w:t>
      </w:r>
      <w:r w:rsidR="00A96FB5">
        <w:t>4</w:t>
      </w:r>
      <w:r w:rsidRPr="00A31CDB">
        <w:t>/2024</w:t>
      </w:r>
      <w:r w:rsidR="00A96FB5">
        <w:t xml:space="preserve"> a 2/2025</w:t>
      </w:r>
      <w:r w:rsidRPr="00A31CDB">
        <w:t xml:space="preserve"> (</w:t>
      </w:r>
      <w:hyperlink r:id="rId16" w:history="1">
        <w:r w:rsidRPr="00A31CDB">
          <w:rPr>
            <w:rStyle w:val="Hypertextovodkaz"/>
          </w:rPr>
          <w:t>Zpravodaj KVZ)</w:t>
        </w:r>
      </w:hyperlink>
      <w:r w:rsidRPr="00A31CDB">
        <w:t>. Kromě toho byly překlad</w:t>
      </w:r>
      <w:r w:rsidR="00A96FB5">
        <w:t>y</w:t>
      </w:r>
      <w:r w:rsidRPr="00A31CDB">
        <w:t xml:space="preserve"> rozsudk</w:t>
      </w:r>
      <w:r w:rsidR="00A96FB5">
        <w:t>ů</w:t>
      </w:r>
      <w:r w:rsidRPr="00A31CDB">
        <w:t xml:space="preserve"> i je</w:t>
      </w:r>
      <w:r w:rsidR="00A96FB5">
        <w:t>jich</w:t>
      </w:r>
      <w:r w:rsidRPr="00A31CDB">
        <w:t xml:space="preserve"> </w:t>
      </w:r>
      <w:r w:rsidR="00A96FB5">
        <w:t>anotace</w:t>
      </w:r>
      <w:r w:rsidRPr="00A31CDB">
        <w:t xml:space="preserve"> zaslány všem orgánům veřejné moci, které se případem zabývaly.</w:t>
      </w:r>
    </w:p>
    <w:p w14:paraId="275DA6B1" w14:textId="580FCFBD" w:rsidR="00D458A5" w:rsidRDefault="00A96FB5" w:rsidP="00A96FB5">
      <w:pPr>
        <w:pStyle w:val="Textodstavce"/>
      </w:pPr>
      <w:r>
        <w:t>Po vyhlášení rozsudků Nejvyšší státní zastupitelství</w:t>
      </w:r>
      <w:r w:rsidR="00D458A5" w:rsidRPr="00A31CDB">
        <w:t xml:space="preserve"> </w:t>
      </w:r>
      <w:r>
        <w:t xml:space="preserve">vložilo české překlady rozsudků a jejich anotace do své interní databáze a informovalo o rozsudcích v časopisu Státní zastupitelství, rozesílaném všem státním zástupcům. </w:t>
      </w:r>
    </w:p>
    <w:p w14:paraId="6BE02AA9" w14:textId="71990939" w:rsidR="00A96FB5" w:rsidRPr="00A31CDB" w:rsidRDefault="00A96FB5" w:rsidP="00A96FB5">
      <w:pPr>
        <w:pStyle w:val="Textodstavce"/>
      </w:pPr>
      <w:r>
        <w:t>Nejvyšší soud rozeslal překlady rozsudků všem trestním místopředsedům krajských soudů a vrchních soudů.</w:t>
      </w:r>
    </w:p>
    <w:p w14:paraId="2F4AA091" w14:textId="43F179EC" w:rsidR="005B58E6" w:rsidRDefault="00D458A5" w:rsidP="005B58E6">
      <w:pPr>
        <w:pStyle w:val="Textodstavce"/>
      </w:pPr>
      <w:r w:rsidRPr="00A31CDB">
        <w:t>Výkon roz</w:t>
      </w:r>
      <w:r w:rsidR="00A96FB5">
        <w:t xml:space="preserve">sudku ve věci </w:t>
      </w:r>
      <w:r w:rsidR="00A96FB5" w:rsidRPr="00134873">
        <w:rPr>
          <w:i/>
          <w:iCs/>
        </w:rPr>
        <w:t>Z proti České republice</w:t>
      </w:r>
      <w:r w:rsidR="00A96FB5">
        <w:rPr>
          <w:i/>
          <w:iCs/>
        </w:rPr>
        <w:t xml:space="preserve"> </w:t>
      </w:r>
      <w:r w:rsidR="00A96FB5">
        <w:t>byl</w:t>
      </w:r>
      <w:r w:rsidR="005B58E6">
        <w:t xml:space="preserve"> dále projednán na 11. </w:t>
      </w:r>
      <w:r w:rsidRPr="00A31CDB">
        <w:t xml:space="preserve">zasedání </w:t>
      </w:r>
      <w:r w:rsidR="00F533BD">
        <w:t>Kolegia</w:t>
      </w:r>
      <w:r w:rsidRPr="00A31CDB">
        <w:t xml:space="preserve"> expertů pro výkon roz</w:t>
      </w:r>
      <w:r w:rsidR="006E3940">
        <w:t>sudků</w:t>
      </w:r>
      <w:r w:rsidRPr="00A31CDB">
        <w:t xml:space="preserve"> Soud</w:t>
      </w:r>
      <w:r w:rsidR="00F533BD">
        <w:t xml:space="preserve">u </w:t>
      </w:r>
      <w:r w:rsidRPr="00A31CDB">
        <w:t xml:space="preserve">a </w:t>
      </w:r>
      <w:r w:rsidR="00F533BD">
        <w:t>implementaci</w:t>
      </w:r>
      <w:r w:rsidRPr="00A31CDB">
        <w:t xml:space="preserve"> </w:t>
      </w:r>
      <w:r w:rsidR="00F533BD">
        <w:t>Ú</w:t>
      </w:r>
      <w:r w:rsidRPr="00A31CDB">
        <w:t>mluvy</w:t>
      </w:r>
      <w:r w:rsidRPr="00A31CDB">
        <w:rPr>
          <w:rStyle w:val="Znakapoznpodarou"/>
        </w:rPr>
        <w:footnoteReference w:id="4"/>
      </w:r>
      <w:r w:rsidRPr="00A31CDB">
        <w:t xml:space="preserve">, které se konalo dne </w:t>
      </w:r>
      <w:r w:rsidR="00862046">
        <w:t>11. prosince 2024</w:t>
      </w:r>
      <w:r w:rsidR="005B58E6">
        <w:t xml:space="preserve"> (podklady na toto jednání a zápis z něj jsou dostupné </w:t>
      </w:r>
      <w:hyperlink r:id="rId17" w:history="1">
        <w:r w:rsidR="005B58E6" w:rsidRPr="005B58E6">
          <w:rPr>
            <w:rStyle w:val="Hypertextovodkaz"/>
          </w:rPr>
          <w:t>online</w:t>
        </w:r>
      </w:hyperlink>
      <w:r w:rsidR="005B58E6">
        <w:t>). Na</w:t>
      </w:r>
      <w:r w:rsidR="00862046">
        <w:t xml:space="preserve"> 12. jednání </w:t>
      </w:r>
      <w:r w:rsidR="005B58E6">
        <w:t>Kolegia</w:t>
      </w:r>
      <w:r w:rsidR="00764543">
        <w:t xml:space="preserve"> expertů</w:t>
      </w:r>
      <w:r w:rsidR="005B58E6">
        <w:t xml:space="preserve">, které se konalo </w:t>
      </w:r>
      <w:r w:rsidR="00862046">
        <w:t>dne 15. května 2025</w:t>
      </w:r>
      <w:r w:rsidR="005B58E6">
        <w:t xml:space="preserve">, byly k věci </w:t>
      </w:r>
      <w:r w:rsidR="005B58E6">
        <w:rPr>
          <w:i/>
          <w:iCs/>
        </w:rPr>
        <w:t xml:space="preserve">Y </w:t>
      </w:r>
      <w:r w:rsidR="005B58E6" w:rsidRPr="00134873">
        <w:rPr>
          <w:i/>
          <w:iCs/>
        </w:rPr>
        <w:t>proti České republice</w:t>
      </w:r>
      <w:r w:rsidR="005B58E6">
        <w:rPr>
          <w:i/>
          <w:iCs/>
        </w:rPr>
        <w:t xml:space="preserve"> </w:t>
      </w:r>
      <w:r w:rsidR="005B58E6">
        <w:t xml:space="preserve">poskytnuty jen podklady, rovněž dostupné </w:t>
      </w:r>
      <w:hyperlink r:id="rId18" w:history="1">
        <w:r w:rsidR="005B58E6" w:rsidRPr="005B58E6">
          <w:rPr>
            <w:rStyle w:val="Hypertextovodkaz"/>
          </w:rPr>
          <w:t>online</w:t>
        </w:r>
      </w:hyperlink>
      <w:r w:rsidR="005B58E6">
        <w:t xml:space="preserve">; z důvodu její podobnosti s věcí </w:t>
      </w:r>
      <w:r w:rsidR="005B58E6" w:rsidRPr="00134873">
        <w:rPr>
          <w:i/>
          <w:iCs/>
        </w:rPr>
        <w:t>Z proti České republice</w:t>
      </w:r>
      <w:r w:rsidR="005B58E6">
        <w:rPr>
          <w:i/>
          <w:iCs/>
        </w:rPr>
        <w:t xml:space="preserve"> </w:t>
      </w:r>
      <w:r w:rsidR="005B58E6">
        <w:t>nebyla zařazena na ústní jednání.</w:t>
      </w:r>
      <w:r w:rsidR="004800B1">
        <w:t xml:space="preserve"> Na 13. jednání, které se konalo 29. dubna 2026, byly obě věci znovu zařazeny pouze do písemné části. Nikdo ze členů Kolegia nevznesl k těmto </w:t>
      </w:r>
      <w:hyperlink r:id="rId19" w:history="1">
        <w:r w:rsidR="004800B1" w:rsidRPr="004800B1">
          <w:rPr>
            <w:rStyle w:val="Hypertextovodkaz"/>
          </w:rPr>
          <w:t>podkladům</w:t>
        </w:r>
      </w:hyperlink>
      <w:r w:rsidR="004800B1">
        <w:t xml:space="preserve"> žádné písemné ani ústní připomínky.</w:t>
      </w:r>
    </w:p>
    <w:p w14:paraId="585785D4" w14:textId="527ACAB4" w:rsidR="005B58E6" w:rsidRDefault="005B58E6" w:rsidP="005B58E6">
      <w:pPr>
        <w:pStyle w:val="Textodstavce"/>
      </w:pPr>
      <w:r>
        <w:t>V srpnu 2025 byla analýza obou rozsudků publikována v </w:t>
      </w:r>
      <w:hyperlink r:id="rId20" w:history="1">
        <w:r w:rsidRPr="005B58E6">
          <w:rPr>
            <w:rStyle w:val="Hypertextovodkaz"/>
          </w:rPr>
          <w:t>úvodníku</w:t>
        </w:r>
      </w:hyperlink>
      <w:r>
        <w:t xml:space="preserve"> </w:t>
      </w:r>
      <w:r w:rsidR="001164BA">
        <w:t>ve</w:t>
      </w:r>
      <w:r>
        <w:t xml:space="preserve"> čtvrtletníku </w:t>
      </w:r>
      <w:r w:rsidRPr="005B58E6">
        <w:rPr>
          <w:i/>
          <w:iCs/>
        </w:rPr>
        <w:t>Výběr rozhodnutí Evropského soudu pro lidská práva pro justiční praxi</w:t>
      </w:r>
      <w:r w:rsidRPr="005B58E6">
        <w:t>, č. 3/2025, v</w:t>
      </w:r>
      <w:r>
        <w:t>ydávaného Nejvyšším soudem ČR ve spolupráci s Kanceláří vládního zmocněnce.</w:t>
      </w:r>
    </w:p>
    <w:p w14:paraId="4D0FEDFD" w14:textId="5CA4DC23" w:rsidR="00D458A5" w:rsidRPr="00A31CDB" w:rsidRDefault="00D458A5" w:rsidP="00D458A5">
      <w:pPr>
        <w:pStyle w:val="Nadpispodsti"/>
        <w:spacing w:before="360"/>
        <w:rPr>
          <w:i/>
          <w:iCs/>
          <w:u w:val="none"/>
        </w:rPr>
      </w:pPr>
      <w:r w:rsidRPr="00A31CDB">
        <w:rPr>
          <w:i/>
          <w:iCs/>
          <w:u w:val="none"/>
        </w:rPr>
        <w:t xml:space="preserve">B. Opatření </w:t>
      </w:r>
      <w:r w:rsidR="005B58E6">
        <w:rPr>
          <w:i/>
          <w:iCs/>
          <w:u w:val="none"/>
        </w:rPr>
        <w:t>potřebná v českém právním řádu</w:t>
      </w:r>
    </w:p>
    <w:p w14:paraId="6C2575FB" w14:textId="4BBF3ED2" w:rsidR="00764543" w:rsidRDefault="005B58E6" w:rsidP="00764543">
      <w:pPr>
        <w:pStyle w:val="Textodstavce"/>
      </w:pPr>
      <w:r>
        <w:t>Z</w:t>
      </w:r>
      <w:r w:rsidR="00764543">
        <w:t> písemných konzultací Kanceláře vládního zmocněnce se všemi dotčenými veřejnými orgány, jakož i z výše zmíněného jednání Kolegia expertů vyplynulo, že za účelem výkonu rozsudků Soudu není nutná změna stávající české právní úpravy.</w:t>
      </w:r>
      <w:r w:rsidR="00764543" w:rsidRPr="00764543">
        <w:t xml:space="preserve"> To plyne zejména ze skutečnosti, že na </w:t>
      </w:r>
      <w:r w:rsidR="00764543">
        <w:t>tyto případy</w:t>
      </w:r>
      <w:r w:rsidR="00764543" w:rsidRPr="00764543">
        <w:t xml:space="preserve"> se vztahoval </w:t>
      </w:r>
      <w:r w:rsidR="00764543">
        <w:t xml:space="preserve">primárně </w:t>
      </w:r>
      <w:r w:rsidR="00B45370">
        <w:t>t</w:t>
      </w:r>
      <w:r w:rsidR="00764543">
        <w:t xml:space="preserve">restní zákon účinný do 31. prosince 2009 (zákon č. </w:t>
      </w:r>
      <w:r w:rsidR="00764543" w:rsidRPr="00764543">
        <w:t>140/1961</w:t>
      </w:r>
      <w:r w:rsidR="00764543">
        <w:t xml:space="preserve"> Sb.). V</w:t>
      </w:r>
      <w:r w:rsidR="00764543" w:rsidRPr="00764543">
        <w:t xml:space="preserve"> mezidobí </w:t>
      </w:r>
      <w:r w:rsidR="00764543">
        <w:t xml:space="preserve">však </w:t>
      </w:r>
      <w:r w:rsidR="00764543" w:rsidRPr="00764543">
        <w:t xml:space="preserve">došlo k přijetí nového </w:t>
      </w:r>
      <w:r w:rsidR="00B45370">
        <w:t>t</w:t>
      </w:r>
      <w:r w:rsidR="00764543" w:rsidRPr="00764543">
        <w:t>restního zákoníku (zákon č. 40/2009 Sb</w:t>
      </w:r>
      <w:r w:rsidR="00764543" w:rsidRPr="00764543">
        <w:rPr>
          <w:b/>
          <w:bCs/>
        </w:rPr>
        <w:t>.</w:t>
      </w:r>
      <w:r w:rsidR="00764543" w:rsidRPr="00764543">
        <w:t>) a jeho novely (zákon č. 166/2024 Sb</w:t>
      </w:r>
      <w:r w:rsidR="00764543" w:rsidRPr="00764543">
        <w:rPr>
          <w:b/>
          <w:bCs/>
        </w:rPr>
        <w:t>.</w:t>
      </w:r>
      <w:r w:rsidR="00764543" w:rsidRPr="00764543">
        <w:t>), které přibližují pojetí této problematiky požadavkům judikatury Soudu.</w:t>
      </w:r>
    </w:p>
    <w:p w14:paraId="65273004" w14:textId="18EF1314" w:rsidR="00D458A5" w:rsidRDefault="00764543" w:rsidP="00764543">
      <w:pPr>
        <w:pStyle w:val="Nadpisoddlu"/>
        <w:numPr>
          <w:ilvl w:val="0"/>
          <w:numId w:val="3"/>
        </w:numPr>
      </w:pPr>
      <w:r>
        <w:lastRenderedPageBreak/>
        <w:t>Zákon č. 40/2009 Sb., Trestní zákoník (účinnost od 1. ledna 2010)</w:t>
      </w:r>
    </w:p>
    <w:p w14:paraId="3701A4FB" w14:textId="10A9FA08" w:rsidR="00D22F41" w:rsidRDefault="00764543" w:rsidP="00764543">
      <w:pPr>
        <w:pStyle w:val="Textodstavce"/>
      </w:pPr>
      <w:r>
        <w:t xml:space="preserve">Ve věci </w:t>
      </w:r>
      <w:r w:rsidRPr="00134873">
        <w:rPr>
          <w:i/>
          <w:iCs/>
        </w:rPr>
        <w:t>Z proti České republice</w:t>
      </w:r>
      <w:r>
        <w:rPr>
          <w:i/>
          <w:iCs/>
        </w:rPr>
        <w:t xml:space="preserve"> </w:t>
      </w:r>
      <w:r>
        <w:t xml:space="preserve">Soud </w:t>
      </w:r>
      <w:r w:rsidRPr="00764543">
        <w:t xml:space="preserve">v závěru rozsudku poznamenal, že </w:t>
      </w:r>
      <w:r w:rsidR="00D22F41">
        <w:t xml:space="preserve">nový český </w:t>
      </w:r>
      <w:r w:rsidR="00B45370">
        <w:t>t</w:t>
      </w:r>
      <w:r w:rsidRPr="00764543">
        <w:t xml:space="preserve">restní zákoník </w:t>
      </w:r>
      <w:r w:rsidR="00D22F41">
        <w:t xml:space="preserve">a </w:t>
      </w:r>
      <w:r w:rsidRPr="00764543">
        <w:t>navazující judikatura Nejvyššího soudu představují přiměřenější reakci státu v této oblasti (§ 59 rozsudku)</w:t>
      </w:r>
      <w:r w:rsidR="00D22F41">
        <w:t>:</w:t>
      </w:r>
    </w:p>
    <w:p w14:paraId="2A780FEB" w14:textId="716E7EC1" w:rsidR="00764543" w:rsidRDefault="00764543" w:rsidP="00D22F41">
      <w:pPr>
        <w:pStyle w:val="Textodstavce"/>
        <w:numPr>
          <w:ilvl w:val="0"/>
          <w:numId w:val="4"/>
        </w:numPr>
      </w:pPr>
      <w:r w:rsidRPr="00764543">
        <w:t xml:space="preserve">V této souvislosti Soud poukázal především na judikaturu Nejvyššího soudu k trestnému činu </w:t>
      </w:r>
      <w:r w:rsidRPr="00764543">
        <w:rPr>
          <w:b/>
          <w:bCs/>
        </w:rPr>
        <w:t xml:space="preserve">znásilnění </w:t>
      </w:r>
      <w:r w:rsidRPr="00764543">
        <w:t xml:space="preserve">dle § 185 odst. 1 zákona č. 40/2009 Sb., dle níž pro účely naplnění pojmu „násilí“ ve smyslu tohoto ustanovení postačí, pokud pachateli musela být zjevná nevole poškozené osoby s jeho jednáním (usnesení </w:t>
      </w:r>
      <w:proofErr w:type="spellStart"/>
      <w:r w:rsidRPr="00764543">
        <w:t>sp</w:t>
      </w:r>
      <w:proofErr w:type="spellEnd"/>
      <w:r w:rsidRPr="00764543">
        <w:t xml:space="preserve">. zn. 11 </w:t>
      </w:r>
      <w:proofErr w:type="spellStart"/>
      <w:r w:rsidRPr="00764543">
        <w:t>Tdo</w:t>
      </w:r>
      <w:proofErr w:type="spellEnd"/>
      <w:r w:rsidRPr="00764543">
        <w:t xml:space="preserve"> 294/2014 ze dne 26. března 2014), přičemž takový nesouhlas lze projevit i neverbálně, např. pozicí těla (usnesení </w:t>
      </w:r>
      <w:proofErr w:type="spellStart"/>
      <w:r w:rsidRPr="00764543">
        <w:t>sp</w:t>
      </w:r>
      <w:proofErr w:type="spellEnd"/>
      <w:r w:rsidRPr="00764543">
        <w:t xml:space="preserve">. zn. 8 </w:t>
      </w:r>
      <w:proofErr w:type="spellStart"/>
      <w:r w:rsidRPr="00764543">
        <w:t>Tdo</w:t>
      </w:r>
      <w:proofErr w:type="spellEnd"/>
      <w:r w:rsidRPr="00764543">
        <w:t xml:space="preserve"> 699/2021 ze dne 4. srpna 2021) či odtažením nebo pasivitou (usnesení </w:t>
      </w:r>
      <w:proofErr w:type="spellStart"/>
      <w:r w:rsidRPr="00764543">
        <w:t>sp</w:t>
      </w:r>
      <w:proofErr w:type="spellEnd"/>
      <w:r w:rsidRPr="00764543">
        <w:t xml:space="preserve">. zn. 7 </w:t>
      </w:r>
      <w:proofErr w:type="spellStart"/>
      <w:r w:rsidRPr="00764543">
        <w:t>Tdo</w:t>
      </w:r>
      <w:proofErr w:type="spellEnd"/>
      <w:r w:rsidRPr="00764543">
        <w:t xml:space="preserve"> 1023/2021 ze dne 10. listopadu 2021). </w:t>
      </w:r>
    </w:p>
    <w:p w14:paraId="50DB7408" w14:textId="38815983" w:rsidR="00764543" w:rsidRDefault="00764543" w:rsidP="009441B2">
      <w:pPr>
        <w:pStyle w:val="Textodstavce"/>
        <w:numPr>
          <w:ilvl w:val="0"/>
          <w:numId w:val="4"/>
        </w:numPr>
      </w:pPr>
      <w:r w:rsidRPr="00764543">
        <w:t xml:space="preserve">Soud rovněž upozornil na to, že dle vnitrostátních orgánů přicházelo v projednávané věci hodnocení jednání podezřelého jako trestného činu </w:t>
      </w:r>
      <w:r w:rsidRPr="00D22F41">
        <w:rPr>
          <w:b/>
          <w:bCs/>
        </w:rPr>
        <w:t xml:space="preserve">sexuálního nátlaku </w:t>
      </w:r>
      <w:r w:rsidRPr="00764543">
        <w:t>dle § 186 odst. 2 zákona č. 40/2009 Sb. T</w:t>
      </w:r>
      <w:r w:rsidR="00D22F41">
        <w:t>ento t</w:t>
      </w:r>
      <w:r w:rsidRPr="00764543">
        <w:t>restný čin</w:t>
      </w:r>
      <w:r w:rsidR="00D22F41">
        <w:t>,</w:t>
      </w:r>
      <w:r w:rsidRPr="00764543">
        <w:t xml:space="preserve"> nově zavedený zákonem č. 40/2009 Sb., se vztahuje na sexuální akty, při nichž pachatel zneužívá závislosti oběti nebo svého postavení a z něho vyplývající důvěryhodnosti nebo vlivu. </w:t>
      </w:r>
      <w:r w:rsidR="00D22F41">
        <w:t>Uvedený výklad se zdá být potvrzen novější judikaturou Nejvyššího soudu, která pod trestný čin sexuálního nátlaku zahrnuje i jednání katolického kněze vůči dospělým členkám církve, které považovaly kněze za náboženskou autoritu (</w:t>
      </w:r>
      <w:r w:rsidRPr="00764543">
        <w:t xml:space="preserve">usnesení </w:t>
      </w:r>
      <w:proofErr w:type="spellStart"/>
      <w:r w:rsidRPr="00764543">
        <w:t>sp</w:t>
      </w:r>
      <w:proofErr w:type="spellEnd"/>
      <w:r w:rsidRPr="00764543">
        <w:t xml:space="preserve">. zn. 6 </w:t>
      </w:r>
      <w:proofErr w:type="spellStart"/>
      <w:r w:rsidRPr="00764543">
        <w:t>Tdo</w:t>
      </w:r>
      <w:proofErr w:type="spellEnd"/>
      <w:r w:rsidRPr="00764543">
        <w:t xml:space="preserve"> 450/2017 ze dne 27. září 2017</w:t>
      </w:r>
      <w:r w:rsidR="00D22F41">
        <w:t>).</w:t>
      </w:r>
      <w:r w:rsidRPr="00764543">
        <w:t xml:space="preserve"> </w:t>
      </w:r>
    </w:p>
    <w:p w14:paraId="3F996BDC" w14:textId="3CBAC8BD" w:rsidR="00D22F41" w:rsidRDefault="00D22F41" w:rsidP="00D22F41">
      <w:pPr>
        <w:pStyle w:val="Nadpisoddlu"/>
        <w:numPr>
          <w:ilvl w:val="0"/>
          <w:numId w:val="3"/>
        </w:numPr>
      </w:pPr>
      <w:r>
        <w:t>Zákon č. 166/2024 Sb., kterým se mění zákon č. 40/2009 Sb. (účinnost od 1. ledna 2025)</w:t>
      </w:r>
    </w:p>
    <w:p w14:paraId="48C76046" w14:textId="467981C1" w:rsidR="00D22F41" w:rsidRDefault="00D22F41" w:rsidP="00D22F41">
      <w:pPr>
        <w:pStyle w:val="Textodstavce"/>
        <w:rPr>
          <w:szCs w:val="24"/>
        </w:rPr>
      </w:pPr>
      <w:r>
        <w:rPr>
          <w:szCs w:val="24"/>
        </w:rPr>
        <w:t>Poslední n</w:t>
      </w:r>
      <w:r w:rsidRPr="00D22F41">
        <w:rPr>
          <w:szCs w:val="24"/>
        </w:rPr>
        <w:t xml:space="preserve">ovela trestního zákoníku přináší v oblasti dotčené rozsudkem Soudu tři </w:t>
      </w:r>
      <w:r>
        <w:rPr>
          <w:szCs w:val="24"/>
        </w:rPr>
        <w:t>důležité</w:t>
      </w:r>
      <w:r w:rsidRPr="00D22F41">
        <w:rPr>
          <w:szCs w:val="24"/>
        </w:rPr>
        <w:t xml:space="preserve"> změny</w:t>
      </w:r>
      <w:r>
        <w:rPr>
          <w:szCs w:val="24"/>
        </w:rPr>
        <w:t>:</w:t>
      </w:r>
    </w:p>
    <w:p w14:paraId="23C52942" w14:textId="7790D0C5" w:rsidR="00D22F41" w:rsidRDefault="00D22F41" w:rsidP="00D22F41">
      <w:pPr>
        <w:pStyle w:val="Textodstavce"/>
        <w:numPr>
          <w:ilvl w:val="0"/>
          <w:numId w:val="5"/>
        </w:numPr>
        <w:rPr>
          <w:szCs w:val="24"/>
        </w:rPr>
      </w:pPr>
      <w:r w:rsidRPr="00D22F41">
        <w:rPr>
          <w:i/>
          <w:iCs/>
          <w:szCs w:val="24"/>
        </w:rPr>
        <w:t>Zaprvé</w:t>
      </w:r>
      <w:r w:rsidRPr="00D22F41">
        <w:rPr>
          <w:szCs w:val="24"/>
        </w:rPr>
        <w:t xml:space="preserve">, novela mění definici </w:t>
      </w:r>
      <w:r w:rsidRPr="00D22F41">
        <w:rPr>
          <w:b/>
          <w:bCs/>
          <w:szCs w:val="24"/>
        </w:rPr>
        <w:t>znásilnění</w:t>
      </w:r>
      <w:r w:rsidRPr="00D22F41">
        <w:rPr>
          <w:szCs w:val="24"/>
        </w:rPr>
        <w:t xml:space="preserve"> v ustanovení § 185 odst. 1 trestního zákoníku. Zatímco původní definice byla založena na donucení nebo zneužití bezbrannosti, dle nové definice dochází ke znásilnění i v případě, že pohlavní styk proběhne „proti </w:t>
      </w:r>
      <w:proofErr w:type="spellStart"/>
      <w:r w:rsidRPr="00D22F41">
        <w:rPr>
          <w:szCs w:val="24"/>
        </w:rPr>
        <w:t>seznatelné</w:t>
      </w:r>
      <w:proofErr w:type="spellEnd"/>
      <w:r w:rsidRPr="00D22F41">
        <w:rPr>
          <w:szCs w:val="24"/>
        </w:rPr>
        <w:t xml:space="preserve"> vůli“ oběti. </w:t>
      </w:r>
    </w:p>
    <w:p w14:paraId="5DCC9BEC" w14:textId="75F69735" w:rsidR="00D22F41" w:rsidRDefault="00D22F41" w:rsidP="00D22F41">
      <w:pPr>
        <w:pStyle w:val="Textodstavce"/>
        <w:numPr>
          <w:ilvl w:val="0"/>
          <w:numId w:val="5"/>
        </w:numPr>
        <w:rPr>
          <w:szCs w:val="24"/>
        </w:rPr>
      </w:pPr>
      <w:r w:rsidRPr="00D22F41">
        <w:rPr>
          <w:i/>
          <w:iCs/>
          <w:szCs w:val="24"/>
        </w:rPr>
        <w:t>Zadruhé</w:t>
      </w:r>
      <w:r w:rsidRPr="00D22F41">
        <w:rPr>
          <w:szCs w:val="24"/>
        </w:rPr>
        <w:t xml:space="preserve">, novela mění i definici </w:t>
      </w:r>
      <w:r w:rsidRPr="00D22F41">
        <w:rPr>
          <w:b/>
          <w:bCs/>
          <w:szCs w:val="24"/>
        </w:rPr>
        <w:t>sexuálního nátlaku</w:t>
      </w:r>
      <w:r w:rsidRPr="00D22F41">
        <w:rPr>
          <w:szCs w:val="24"/>
        </w:rPr>
        <w:t xml:space="preserve"> dle ustanovení § 186 </w:t>
      </w:r>
      <w:r>
        <w:rPr>
          <w:szCs w:val="24"/>
        </w:rPr>
        <w:t xml:space="preserve">odst. 2 </w:t>
      </w:r>
      <w:r w:rsidRPr="00D22F41">
        <w:rPr>
          <w:szCs w:val="24"/>
        </w:rPr>
        <w:t>trestního zákoníku; nově do skutkové podstaty tohoto trestného činu patř</w:t>
      </w:r>
      <w:r>
        <w:rPr>
          <w:szCs w:val="24"/>
        </w:rPr>
        <w:t>í</w:t>
      </w:r>
      <w:r w:rsidRPr="00D22F41">
        <w:rPr>
          <w:szCs w:val="24"/>
        </w:rPr>
        <w:t xml:space="preserve"> nejenom zneužití závislosti oběti nebo pachatelova postavení a z něho vyplývající důvěryhodnosti nebo vlivu, ale také tísně oběti. </w:t>
      </w:r>
    </w:p>
    <w:p w14:paraId="2526B3FE" w14:textId="76FEFE59" w:rsidR="00D22F41" w:rsidRPr="00D22F41" w:rsidRDefault="00D22F41" w:rsidP="00D22F41">
      <w:pPr>
        <w:pStyle w:val="Textodstavce"/>
        <w:numPr>
          <w:ilvl w:val="0"/>
          <w:numId w:val="5"/>
        </w:numPr>
        <w:rPr>
          <w:szCs w:val="24"/>
        </w:rPr>
      </w:pPr>
      <w:r w:rsidRPr="00D22F41">
        <w:rPr>
          <w:szCs w:val="24"/>
        </w:rPr>
        <w:t xml:space="preserve">A </w:t>
      </w:r>
      <w:r w:rsidRPr="00D22F41">
        <w:rPr>
          <w:i/>
          <w:iCs/>
          <w:szCs w:val="24"/>
        </w:rPr>
        <w:t>zatřetí</w:t>
      </w:r>
      <w:r w:rsidRPr="00D22F41">
        <w:rPr>
          <w:szCs w:val="24"/>
        </w:rPr>
        <w:t xml:space="preserve">, novela zavádí ustanovení § 119a, které definuje spáchání trestného činu zneužitím </w:t>
      </w:r>
      <w:r w:rsidRPr="00D22F41">
        <w:rPr>
          <w:b/>
          <w:bCs/>
          <w:szCs w:val="24"/>
        </w:rPr>
        <w:t>bezbrannosti</w:t>
      </w:r>
      <w:r w:rsidRPr="00D22F41">
        <w:rPr>
          <w:szCs w:val="24"/>
        </w:rPr>
        <w:t>; mezi tyto situace zahrnuje i případy, kdy pachatel využije toho, že oběť je ve stavu „silného ochromujícího stresu“ (tzv. zamrznutí).</w:t>
      </w:r>
    </w:p>
    <w:p w14:paraId="44906651" w14:textId="59CBF812" w:rsidR="00D22F41" w:rsidRDefault="00D22F41" w:rsidP="00D22F41">
      <w:pPr>
        <w:pStyle w:val="Nadpisoddlu"/>
        <w:numPr>
          <w:ilvl w:val="0"/>
          <w:numId w:val="3"/>
        </w:numPr>
      </w:pPr>
      <w:r>
        <w:t>Využití rozsudků Soudu jako vodítka pro výklad českého práva</w:t>
      </w:r>
    </w:p>
    <w:p w14:paraId="770876DD" w14:textId="5188F8E7" w:rsidR="00C04729" w:rsidRDefault="00C04729" w:rsidP="00C04729">
      <w:pPr>
        <w:pStyle w:val="Textodstavce"/>
        <w:rPr>
          <w:szCs w:val="24"/>
        </w:rPr>
      </w:pPr>
      <w:r>
        <w:rPr>
          <w:szCs w:val="24"/>
        </w:rPr>
        <w:t xml:space="preserve">Ve světle tohoto vývoje vnitrostátní legislativy a judikatury se vláda domnívá, že výkon rozsudků Soudu nevyžaduje změnu současné právní úpravy, ale postačí </w:t>
      </w:r>
      <w:r w:rsidRPr="00C04729">
        <w:rPr>
          <w:b/>
          <w:bCs/>
          <w:szCs w:val="24"/>
        </w:rPr>
        <w:t>uplatňování zásad z nich plynoucích při výkladu úpravy stávající</w:t>
      </w:r>
      <w:r>
        <w:rPr>
          <w:szCs w:val="24"/>
        </w:rPr>
        <w:t>.</w:t>
      </w:r>
    </w:p>
    <w:p w14:paraId="33AEEBE6" w14:textId="7C4877B5" w:rsidR="00C04729" w:rsidRDefault="00C04729" w:rsidP="00C04729">
      <w:pPr>
        <w:pStyle w:val="Textodstavce"/>
        <w:rPr>
          <w:szCs w:val="24"/>
        </w:rPr>
      </w:pPr>
      <w:r>
        <w:rPr>
          <w:szCs w:val="24"/>
        </w:rPr>
        <w:lastRenderedPageBreak/>
        <w:t xml:space="preserve">Za tímto účelem již zástupci Kanceláře vládního zmocněnce diskutovali rozsudek Soudu ve věci </w:t>
      </w:r>
      <w:r>
        <w:rPr>
          <w:i/>
          <w:iCs/>
          <w:szCs w:val="24"/>
        </w:rPr>
        <w:t xml:space="preserve">Z proti České republice </w:t>
      </w:r>
      <w:r>
        <w:rPr>
          <w:szCs w:val="24"/>
        </w:rPr>
        <w:t>v přednášce pro české trestní soudce v říjnu 2024 a plánují se dále věnovat oběma rozsudkům v rámci pravidelných školení na půdě Justiční akademie, např. na semináři pro soudce Nejvyššího soudu naplánované</w:t>
      </w:r>
      <w:r w:rsidR="001164BA">
        <w:rPr>
          <w:szCs w:val="24"/>
        </w:rPr>
        <w:t>m</w:t>
      </w:r>
      <w:r>
        <w:rPr>
          <w:szCs w:val="24"/>
        </w:rPr>
        <w:t xml:space="preserve"> na září 2025 a na přednášce pro trestní soudce naplánované na listopad 2025.</w:t>
      </w:r>
    </w:p>
    <w:p w14:paraId="7B78F1A6" w14:textId="75E9DB2C" w:rsidR="00C04729" w:rsidRPr="00C04729" w:rsidRDefault="00C04729" w:rsidP="00C04729">
      <w:pPr>
        <w:pStyle w:val="Textodstavce"/>
        <w:rPr>
          <w:szCs w:val="24"/>
        </w:rPr>
      </w:pPr>
      <w:r>
        <w:rPr>
          <w:szCs w:val="24"/>
        </w:rPr>
        <w:t xml:space="preserve">Kancelář vládního zmocněnce dále v květnu 2025 zveřejnila </w:t>
      </w:r>
      <w:hyperlink r:id="rId21" w:history="1">
        <w:r w:rsidRPr="00C04729">
          <w:rPr>
            <w:rStyle w:val="Hypertextovodkaz"/>
            <w:szCs w:val="24"/>
          </w:rPr>
          <w:t>tematickou příručku</w:t>
        </w:r>
      </w:hyperlink>
      <w:r>
        <w:rPr>
          <w:szCs w:val="24"/>
        </w:rPr>
        <w:t xml:space="preserve"> k sexuálnímu násilí, která obsahuje přehled obecných zásad plynoucích z judikatury Soudu ohledně kriminalizace, vyšetřování, stíhání a trestání sexuálních trestných činů, jakož i shrnutí vnitrostátní judikatury v této oblasti. Uvedený materiál je dostupný online a byl rovněž rozeslán všem relevantním vnitrostátním orgánům, aby věděly, kterým aspektům mají věnovat zvláštní pozornost.</w:t>
      </w:r>
      <w:r w:rsidR="00201AB7">
        <w:rPr>
          <w:szCs w:val="24"/>
        </w:rPr>
        <w:t xml:space="preserve"> Do konce roku 2026 Kancelář vládního zmocněnce publikuje aktualizovanou verzi této tematické příručky.</w:t>
      </w:r>
    </w:p>
    <w:p w14:paraId="4AEB2A31" w14:textId="77777777" w:rsidR="00D458A5" w:rsidRPr="00303CCF" w:rsidRDefault="00D458A5" w:rsidP="00D458A5">
      <w:pPr>
        <w:pStyle w:val="Nadpissti"/>
        <w:rPr>
          <w:szCs w:val="24"/>
        </w:rPr>
      </w:pPr>
      <w:r w:rsidRPr="00303CCF">
        <w:rPr>
          <w:szCs w:val="24"/>
        </w:rPr>
        <w:t>III. Závěr</w:t>
      </w:r>
    </w:p>
    <w:p w14:paraId="750FCC27" w14:textId="62C56D53" w:rsidR="005A3ADC" w:rsidRDefault="00C04729" w:rsidP="00C04729">
      <w:pPr>
        <w:pStyle w:val="Textodstavce"/>
        <w:rPr>
          <w:szCs w:val="24"/>
        </w:rPr>
      </w:pPr>
      <w:r>
        <w:rPr>
          <w:szCs w:val="24"/>
        </w:rPr>
        <w:t>Na základě uvedeného se v</w:t>
      </w:r>
      <w:r w:rsidR="00D458A5" w:rsidRPr="00303CCF">
        <w:rPr>
          <w:szCs w:val="24"/>
        </w:rPr>
        <w:t xml:space="preserve">láda České republiky </w:t>
      </w:r>
      <w:r>
        <w:rPr>
          <w:szCs w:val="24"/>
        </w:rPr>
        <w:t>domnívá, že obecná opatření</w:t>
      </w:r>
      <w:r w:rsidR="00201AB7">
        <w:rPr>
          <w:szCs w:val="24"/>
        </w:rPr>
        <w:t xml:space="preserve"> přijatá k výkonu uvedených rozsudků</w:t>
      </w:r>
      <w:r>
        <w:rPr>
          <w:szCs w:val="24"/>
        </w:rPr>
        <w:t xml:space="preserve"> jsou dostatečná</w:t>
      </w:r>
      <w:r w:rsidR="00201AB7">
        <w:rPr>
          <w:szCs w:val="24"/>
        </w:rPr>
        <w:t>.</w:t>
      </w:r>
    </w:p>
    <w:p w14:paraId="55E4D9BF" w14:textId="347ECD21" w:rsidR="00201AB7" w:rsidRPr="00A31CDB" w:rsidRDefault="00201AB7" w:rsidP="00C04729">
      <w:pPr>
        <w:pStyle w:val="Textodstavce"/>
      </w:pPr>
      <w:r>
        <w:rPr>
          <w:szCs w:val="24"/>
        </w:rPr>
        <w:t>Pokud jde o individuální opatření, vláda předloží Výboru ministrů aktualizovaný akční</w:t>
      </w:r>
      <w:r w:rsidR="00B56233">
        <w:rPr>
          <w:szCs w:val="24"/>
        </w:rPr>
        <w:t xml:space="preserve"> plán nebo akční zprávu, v závislosti na vývoji obou obnovených trestních řízení, do 30. září 2027.</w:t>
      </w:r>
    </w:p>
    <w:sectPr w:rsidR="00201AB7" w:rsidRPr="00A31C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68732" w14:textId="77777777" w:rsidR="00FD081B" w:rsidRDefault="00FD081B" w:rsidP="00D458A5">
      <w:pPr>
        <w:spacing w:after="0" w:line="240" w:lineRule="auto"/>
      </w:pPr>
      <w:r>
        <w:separator/>
      </w:r>
    </w:p>
  </w:endnote>
  <w:endnote w:type="continuationSeparator" w:id="0">
    <w:p w14:paraId="765EB3F2" w14:textId="77777777" w:rsidR="00FD081B" w:rsidRDefault="00FD081B" w:rsidP="00D4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4731F" w14:textId="77777777" w:rsidR="00FD081B" w:rsidRDefault="00FD081B" w:rsidP="00D458A5">
      <w:pPr>
        <w:spacing w:after="0" w:line="240" w:lineRule="auto"/>
      </w:pPr>
      <w:r>
        <w:separator/>
      </w:r>
    </w:p>
  </w:footnote>
  <w:footnote w:type="continuationSeparator" w:id="0">
    <w:p w14:paraId="5CB68FCB" w14:textId="77777777" w:rsidR="00FD081B" w:rsidRDefault="00FD081B" w:rsidP="00D458A5">
      <w:pPr>
        <w:spacing w:after="0" w:line="240" w:lineRule="auto"/>
      </w:pPr>
      <w:r>
        <w:continuationSeparator/>
      </w:r>
    </w:p>
  </w:footnote>
  <w:footnote w:id="1">
    <w:p w14:paraId="3556440C" w14:textId="49102357" w:rsidR="00D458A5" w:rsidRPr="00F572F8" w:rsidRDefault="00D458A5" w:rsidP="00D458A5">
      <w:pPr>
        <w:pStyle w:val="Textpoznpodarou"/>
        <w:spacing w:after="120"/>
        <w:jc w:val="both"/>
      </w:pPr>
      <w:r>
        <w:rPr>
          <w:rStyle w:val="Znakapoznpodarou"/>
          <w:lang w:val="en-GB"/>
        </w:rPr>
        <w:footnoteRef/>
      </w:r>
      <w:r>
        <w:rPr>
          <w:lang w:val="en-GB"/>
        </w:rPr>
        <w:t xml:space="preserve"> </w:t>
      </w:r>
      <w:r w:rsidRPr="00F572F8">
        <w:t xml:space="preserve">Podrobnosti o platbě </w:t>
      </w:r>
      <w:r w:rsidR="00F572F8" w:rsidRPr="00F572F8">
        <w:t>jsou k dispozici na vyžádání v Kanceláři vládního zmocněn</w:t>
      </w:r>
      <w:r w:rsidR="00F572F8">
        <w:t>c</w:t>
      </w:r>
      <w:r w:rsidR="00F572F8" w:rsidRPr="00F572F8">
        <w:t>e.</w:t>
      </w:r>
    </w:p>
  </w:footnote>
  <w:footnote w:id="2">
    <w:p w14:paraId="497D50C2" w14:textId="31BA422A" w:rsidR="00D458A5" w:rsidRPr="00F572F8" w:rsidRDefault="00D458A5" w:rsidP="00D458A5">
      <w:pPr>
        <w:pStyle w:val="Default"/>
        <w:spacing w:after="120"/>
        <w:jc w:val="both"/>
        <w:rPr>
          <w:sz w:val="20"/>
          <w:szCs w:val="20"/>
        </w:rPr>
      </w:pPr>
      <w:r w:rsidRPr="00F572F8">
        <w:rPr>
          <w:rStyle w:val="Znakapoznpodarou"/>
          <w:sz w:val="20"/>
          <w:szCs w:val="20"/>
        </w:rPr>
        <w:footnoteRef/>
      </w:r>
      <w:r w:rsidRPr="00F572F8">
        <w:rPr>
          <w:sz w:val="20"/>
          <w:szCs w:val="20"/>
        </w:rPr>
        <w:t xml:space="preserve"> Ustanovení § 119 zákona o Ústavním soudu ve znění zákona č. 404/2012 Sb. </w:t>
      </w:r>
      <w:r w:rsidRPr="00F572F8">
        <w:rPr>
          <w:i/>
          <w:iCs/>
          <w:sz w:val="20"/>
          <w:szCs w:val="20"/>
        </w:rPr>
        <w:t>mimo jiné</w:t>
      </w:r>
      <w:r w:rsidRPr="00F572F8">
        <w:rPr>
          <w:sz w:val="20"/>
          <w:szCs w:val="20"/>
        </w:rPr>
        <w:t xml:space="preserve"> stanoví, že pokud Ústavní soud již dříve rozhodl ve věci, v níž mezinárodní soud shledal porušení lidských práv nebo základních svobod zaručených mezinárodní smlouvou, je možné podat návrh na obnovu řízení, v němž bylo</w:t>
      </w:r>
      <w:r w:rsidR="006D3E0B">
        <w:rPr>
          <w:sz w:val="20"/>
          <w:szCs w:val="20"/>
        </w:rPr>
        <w:t xml:space="preserve"> </w:t>
      </w:r>
      <w:r w:rsidR="006D3E0B" w:rsidRPr="00F572F8">
        <w:rPr>
          <w:sz w:val="20"/>
          <w:szCs w:val="20"/>
        </w:rPr>
        <w:t>rozhodnutí</w:t>
      </w:r>
      <w:r w:rsidRPr="00F572F8">
        <w:rPr>
          <w:sz w:val="20"/>
          <w:szCs w:val="20"/>
        </w:rPr>
        <w:t xml:space="preserve"> vydáno. Ustanovení § 119b </w:t>
      </w:r>
      <w:r w:rsidRPr="00F572F8">
        <w:rPr>
          <w:i/>
          <w:iCs/>
          <w:sz w:val="20"/>
          <w:szCs w:val="20"/>
        </w:rPr>
        <w:t>mimo jiné</w:t>
      </w:r>
      <w:r w:rsidRPr="00F572F8">
        <w:rPr>
          <w:sz w:val="20"/>
          <w:szCs w:val="20"/>
        </w:rPr>
        <w:t xml:space="preserve"> stanoví, že pokud byl předchozí rozsudek Ústavního soudu (</w:t>
      </w:r>
      <w:r w:rsidRPr="00F572F8">
        <w:rPr>
          <w:i/>
          <w:iCs/>
          <w:sz w:val="20"/>
          <w:szCs w:val="20"/>
        </w:rPr>
        <w:t>nález</w:t>
      </w:r>
      <w:r w:rsidRPr="00F572F8">
        <w:rPr>
          <w:sz w:val="20"/>
          <w:szCs w:val="20"/>
        </w:rPr>
        <w:t xml:space="preserve">) v rozporu s rozhodnutím přijatým mezinárodním soudem, musí </w:t>
      </w:r>
      <w:r w:rsidR="00892C16">
        <w:rPr>
          <w:sz w:val="20"/>
          <w:szCs w:val="20"/>
        </w:rPr>
        <w:t>být zrušen</w:t>
      </w:r>
      <w:r w:rsidRPr="00F572F8">
        <w:rPr>
          <w:sz w:val="20"/>
          <w:szCs w:val="20"/>
        </w:rPr>
        <w:t>. Zruší-li Ústavní soud svůj nález, zabývá se znovu původní ústavní stížností a nový nález by měl vycházet z právního názoru mezinárodního soudu.</w:t>
      </w:r>
      <w:r w:rsidR="006D3E0B">
        <w:rPr>
          <w:sz w:val="20"/>
          <w:szCs w:val="20"/>
        </w:rPr>
        <w:t xml:space="preserve"> </w:t>
      </w:r>
    </w:p>
  </w:footnote>
  <w:footnote w:id="3">
    <w:p w14:paraId="678FF87E" w14:textId="4EFC8781" w:rsidR="00D458A5" w:rsidRPr="006D3E0B" w:rsidRDefault="00D458A5" w:rsidP="00D458A5">
      <w:pPr>
        <w:pStyle w:val="Textpoznpodarou"/>
        <w:spacing w:after="120"/>
        <w:jc w:val="both"/>
      </w:pPr>
      <w:r w:rsidRPr="00F572F8">
        <w:rPr>
          <w:rStyle w:val="Znakapoznpodarou"/>
        </w:rPr>
        <w:footnoteRef/>
      </w:r>
      <w:r w:rsidRPr="00F572F8">
        <w:t xml:space="preserve"> V červnu 2024 ministerstvo spravedlnosti oficiálně spustilo nové webové stránky </w:t>
      </w:r>
      <w:hyperlink r:id="rId1" w:history="1">
        <w:r w:rsidRPr="00F572F8">
          <w:rPr>
            <w:rStyle w:val="Hypertextovodkaz"/>
          </w:rPr>
          <w:t xml:space="preserve">(https://mezisoudy.cz/) </w:t>
        </w:r>
      </w:hyperlink>
      <w:r w:rsidRPr="00F572F8">
        <w:t xml:space="preserve">věnované mezinárodní ochraně lidských práv. Webové stránky provozuje </w:t>
      </w:r>
      <w:r w:rsidR="00892C16">
        <w:t>Kancelář</w:t>
      </w:r>
      <w:r w:rsidRPr="00F572F8">
        <w:t xml:space="preserve"> vládního zmocněnce. Jej</w:t>
      </w:r>
      <w:r w:rsidR="00892C16">
        <w:t>ich</w:t>
      </w:r>
      <w:r w:rsidRPr="00F572F8">
        <w:t xml:space="preserve"> součástí je databáze, která umožňuje přístup k judikatuře Soud</w:t>
      </w:r>
      <w:r w:rsidR="00892C16">
        <w:t>u</w:t>
      </w:r>
      <w:r w:rsidRPr="00F572F8">
        <w:t xml:space="preserve">. Databáze obsahuje všechny rozsudky Soudu v </w:t>
      </w:r>
      <w:r w:rsidRPr="006D3E0B">
        <w:t>jazyce, v němž je Soud vydal. Nad to databáze obsahuje překlady všech rozsudků Soudu proti České republice, stovky překladů nejdůležitějších rozsudků Soudu vydaných proti jiným státům a více než 1 700 právních shrnutí dalších relevantních a významných rozsudků a rozhodnutí Soudu</w:t>
      </w:r>
      <w:r w:rsidR="00892C16">
        <w:t xml:space="preserve"> </w:t>
      </w:r>
      <w:r w:rsidR="00892C16" w:rsidRPr="006D3E0B">
        <w:t>se</w:t>
      </w:r>
      <w:r w:rsidR="00892C16">
        <w:t>psaných</w:t>
      </w:r>
      <w:r w:rsidR="00892C16" w:rsidRPr="006D3E0B">
        <w:t xml:space="preserve"> v českém jazyce</w:t>
      </w:r>
      <w:r w:rsidRPr="006D3E0B">
        <w:t>. Databáze rovněž propojuje judikaturu Soudu s judikaturou Ústavního soudu ČR a judikaturou Evropského výboru pro sociální práva a smluvních orgánů OSN.</w:t>
      </w:r>
    </w:p>
  </w:footnote>
  <w:footnote w:id="4">
    <w:p w14:paraId="193CE7B2" w14:textId="76AAD311" w:rsidR="00D458A5" w:rsidRPr="0004691D" w:rsidRDefault="00D458A5" w:rsidP="00D458A5">
      <w:pPr>
        <w:pStyle w:val="Textpoznpodarou"/>
        <w:spacing w:after="120"/>
        <w:jc w:val="both"/>
      </w:pPr>
      <w:r w:rsidRPr="006D3E0B">
        <w:rPr>
          <w:rStyle w:val="Znakapoznpodarou"/>
        </w:rPr>
        <w:footnoteRef/>
      </w:r>
      <w:r w:rsidRPr="006D3E0B">
        <w:t xml:space="preserve"> Je zřízen</w:t>
      </w:r>
      <w:r w:rsidR="00F533BD" w:rsidRPr="006D3E0B">
        <w:t>o</w:t>
      </w:r>
      <w:r w:rsidRPr="006D3E0B">
        <w:t xml:space="preserve"> v návaznosti na závazek posílit </w:t>
      </w:r>
      <w:r w:rsidR="00892C16">
        <w:t>implementaci</w:t>
      </w:r>
      <w:r w:rsidRPr="006D3E0B">
        <w:t xml:space="preserve"> Úmluvy na vnitrostátní úrovni, na němž se smluvní strany Úmluvy dohodly na konferenci "Provádění Evropské úmluvy o lidských právech, naše společná odpovědnost" dne 27. března 2015, a je poradním orgánem vládního zmocněnce, který slouží jako fórum pro analýzu a formulaci doporučení orgánům, pokud jde o vhodná opatření, která mají být přijata za účelem provádění rozsudků Soudu. Je složen ze zástupců všech ministerstev, obou komor parlamentu, nejvyšších soudů, </w:t>
      </w:r>
      <w:r w:rsidR="00892C16">
        <w:t>Nejvyššího</w:t>
      </w:r>
      <w:r w:rsidRPr="006D3E0B">
        <w:t xml:space="preserve"> státního z</w:t>
      </w:r>
      <w:r w:rsidR="00892C16">
        <w:t>astupitelství</w:t>
      </w:r>
      <w:r w:rsidRPr="006D3E0B">
        <w:t>, Kanceláře veřejného ochránce práv, akademických pracovníků a členů různých nevládních organizací působících v oblasti základních lidských práv.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3264"/>
    <w:multiLevelType w:val="hybridMultilevel"/>
    <w:tmpl w:val="116807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48A72EE"/>
    <w:multiLevelType w:val="hybridMultilevel"/>
    <w:tmpl w:val="AF780C98"/>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 w15:restartNumberingAfterBreak="0">
    <w:nsid w:val="41CA234A"/>
    <w:multiLevelType w:val="hybridMultilevel"/>
    <w:tmpl w:val="10D4DA8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447328F9"/>
    <w:multiLevelType w:val="hybridMultilevel"/>
    <w:tmpl w:val="0FDCB8FE"/>
    <w:lvl w:ilvl="0" w:tplc="726286CE">
      <w:start w:val="3"/>
      <w:numFmt w:val="bullet"/>
      <w:lvlText w:val="-"/>
      <w:lvlJc w:val="left"/>
      <w:pPr>
        <w:ind w:left="1069" w:hanging="360"/>
      </w:pPr>
      <w:rPr>
        <w:rFonts w:ascii="Calibri" w:eastAsiaTheme="minorHAnsi" w:hAnsi="Calibri" w:cs="Calibri"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 w15:restartNumberingAfterBreak="0">
    <w:nsid w:val="6D16338F"/>
    <w:multiLevelType w:val="hybridMultilevel"/>
    <w:tmpl w:val="A31867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18F4E44"/>
    <w:multiLevelType w:val="hybridMultilevel"/>
    <w:tmpl w:val="8CEA944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num w:numId="1" w16cid:durableId="2039118971">
    <w:abstractNumId w:val="1"/>
  </w:num>
  <w:num w:numId="2" w16cid:durableId="2064593807">
    <w:abstractNumId w:val="3"/>
  </w:num>
  <w:num w:numId="3" w16cid:durableId="1761293441">
    <w:abstractNumId w:val="0"/>
  </w:num>
  <w:num w:numId="4" w16cid:durableId="747118855">
    <w:abstractNumId w:val="2"/>
  </w:num>
  <w:num w:numId="5" w16cid:durableId="702485270">
    <w:abstractNumId w:val="5"/>
  </w:num>
  <w:num w:numId="6" w16cid:durableId="1500077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32"/>
    <w:rsid w:val="00040090"/>
    <w:rsid w:val="0004691D"/>
    <w:rsid w:val="000475A2"/>
    <w:rsid w:val="001164BA"/>
    <w:rsid w:val="00134873"/>
    <w:rsid w:val="00201AB7"/>
    <w:rsid w:val="00263EF4"/>
    <w:rsid w:val="00276E66"/>
    <w:rsid w:val="002A0C16"/>
    <w:rsid w:val="002D5232"/>
    <w:rsid w:val="002E083A"/>
    <w:rsid w:val="002F34BF"/>
    <w:rsid w:val="00303CCF"/>
    <w:rsid w:val="003926A8"/>
    <w:rsid w:val="004321CC"/>
    <w:rsid w:val="00456FCD"/>
    <w:rsid w:val="00465E52"/>
    <w:rsid w:val="004800B1"/>
    <w:rsid w:val="004D7D16"/>
    <w:rsid w:val="005A3ADC"/>
    <w:rsid w:val="005B58E6"/>
    <w:rsid w:val="005E4A06"/>
    <w:rsid w:val="0061528D"/>
    <w:rsid w:val="00661A8C"/>
    <w:rsid w:val="00692DAC"/>
    <w:rsid w:val="006A3536"/>
    <w:rsid w:val="006D3E0B"/>
    <w:rsid w:val="006E3940"/>
    <w:rsid w:val="00744322"/>
    <w:rsid w:val="00764543"/>
    <w:rsid w:val="00767520"/>
    <w:rsid w:val="007902DE"/>
    <w:rsid w:val="007D031C"/>
    <w:rsid w:val="007D1F55"/>
    <w:rsid w:val="007F3584"/>
    <w:rsid w:val="0084553E"/>
    <w:rsid w:val="00857672"/>
    <w:rsid w:val="00862046"/>
    <w:rsid w:val="00892C16"/>
    <w:rsid w:val="008D6052"/>
    <w:rsid w:val="008F4020"/>
    <w:rsid w:val="00913386"/>
    <w:rsid w:val="00960C9E"/>
    <w:rsid w:val="00981319"/>
    <w:rsid w:val="009F339F"/>
    <w:rsid w:val="00A31CDB"/>
    <w:rsid w:val="00A609FE"/>
    <w:rsid w:val="00A96FB5"/>
    <w:rsid w:val="00AB6DAD"/>
    <w:rsid w:val="00AF513F"/>
    <w:rsid w:val="00B20F62"/>
    <w:rsid w:val="00B45370"/>
    <w:rsid w:val="00B56233"/>
    <w:rsid w:val="00C04729"/>
    <w:rsid w:val="00C42A92"/>
    <w:rsid w:val="00CA469D"/>
    <w:rsid w:val="00CB596D"/>
    <w:rsid w:val="00CC2190"/>
    <w:rsid w:val="00CF69EA"/>
    <w:rsid w:val="00D11E34"/>
    <w:rsid w:val="00D1593B"/>
    <w:rsid w:val="00D22F41"/>
    <w:rsid w:val="00D35C5E"/>
    <w:rsid w:val="00D458A5"/>
    <w:rsid w:val="00E27AFD"/>
    <w:rsid w:val="00E917F4"/>
    <w:rsid w:val="00EA3E46"/>
    <w:rsid w:val="00EF481B"/>
    <w:rsid w:val="00EF7BC0"/>
    <w:rsid w:val="00F533BD"/>
    <w:rsid w:val="00F5526C"/>
    <w:rsid w:val="00F572F8"/>
    <w:rsid w:val="00F72222"/>
    <w:rsid w:val="00F73F23"/>
    <w:rsid w:val="00FD081B"/>
    <w:rsid w:val="00FD37D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7AC0F"/>
  <w15:chartTrackingRefBased/>
  <w15:docId w15:val="{A8D40C35-ABF4-40DF-ABC4-A6F19E86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458A5"/>
    <w:rPr>
      <w:color w:val="0563C1" w:themeColor="hyperlink"/>
      <w:u w:val="single"/>
    </w:rPr>
  </w:style>
  <w:style w:type="paragraph" w:styleId="Textpoznpodarou">
    <w:name w:val="footnote text"/>
    <w:basedOn w:val="Normln"/>
    <w:link w:val="TextpoznpodarouChar"/>
    <w:semiHidden/>
    <w:unhideWhenUsed/>
    <w:rsid w:val="00D458A5"/>
    <w:pPr>
      <w:spacing w:after="0" w:line="240" w:lineRule="auto"/>
    </w:pPr>
    <w:rPr>
      <w:rFonts w:ascii="Times New Roman" w:eastAsia="Times New Roman" w:hAnsi="Times New Roman" w:cs="Times New Roman"/>
      <w:kern w:val="0"/>
      <w:sz w:val="20"/>
      <w:szCs w:val="20"/>
      <w:lang w:eastAsia="cs-CZ"/>
      <w14:ligatures w14:val="none"/>
    </w:rPr>
  </w:style>
  <w:style w:type="character" w:customStyle="1" w:styleId="TextpoznpodarouChar">
    <w:name w:val="Text pozn. pod čarou Char"/>
    <w:basedOn w:val="Standardnpsmoodstavce"/>
    <w:link w:val="Textpoznpodarou"/>
    <w:semiHidden/>
    <w:rsid w:val="00D458A5"/>
    <w:rPr>
      <w:rFonts w:ascii="Times New Roman" w:eastAsia="Times New Roman" w:hAnsi="Times New Roman" w:cs="Times New Roman"/>
      <w:kern w:val="0"/>
      <w:sz w:val="20"/>
      <w:szCs w:val="20"/>
      <w:lang w:eastAsia="cs-CZ"/>
      <w14:ligatures w14:val="none"/>
    </w:rPr>
  </w:style>
  <w:style w:type="paragraph" w:customStyle="1" w:styleId="Nadpishlavn">
    <w:name w:val="Nadpis hlavní"/>
    <w:basedOn w:val="Normln"/>
    <w:rsid w:val="00D458A5"/>
    <w:pPr>
      <w:pBdr>
        <w:top w:val="single" w:sz="12" w:space="4" w:color="auto" w:shadow="1"/>
        <w:left w:val="single" w:sz="12" w:space="4" w:color="auto" w:shadow="1"/>
        <w:bottom w:val="single" w:sz="12" w:space="4" w:color="auto" w:shadow="1"/>
        <w:right w:val="single" w:sz="12" w:space="4" w:color="auto" w:shadow="1"/>
      </w:pBdr>
      <w:spacing w:after="0" w:line="240" w:lineRule="auto"/>
      <w:jc w:val="center"/>
    </w:pPr>
    <w:rPr>
      <w:rFonts w:ascii="Times New Roman" w:eastAsia="Times New Roman" w:hAnsi="Times New Roman" w:cs="Times New Roman"/>
      <w:b/>
      <w:kern w:val="0"/>
      <w:sz w:val="25"/>
      <w:szCs w:val="20"/>
      <w:lang w:eastAsia="cs-CZ"/>
      <w14:ligatures w14:val="none"/>
    </w:rPr>
  </w:style>
  <w:style w:type="character" w:customStyle="1" w:styleId="TextodstavceChar">
    <w:name w:val="Text odstavce Char"/>
    <w:link w:val="Textodstavce"/>
    <w:locked/>
    <w:rsid w:val="00D458A5"/>
    <w:rPr>
      <w:sz w:val="24"/>
    </w:rPr>
  </w:style>
  <w:style w:type="paragraph" w:customStyle="1" w:styleId="Textodstavce">
    <w:name w:val="Text odstavce"/>
    <w:basedOn w:val="Normln"/>
    <w:link w:val="TextodstavceChar"/>
    <w:rsid w:val="00D458A5"/>
    <w:pPr>
      <w:spacing w:before="120" w:after="0" w:line="240" w:lineRule="auto"/>
      <w:ind w:firstLine="709"/>
      <w:jc w:val="both"/>
    </w:pPr>
    <w:rPr>
      <w:sz w:val="24"/>
    </w:rPr>
  </w:style>
  <w:style w:type="paragraph" w:customStyle="1" w:styleId="Nadpissti">
    <w:name w:val="Nadpis části"/>
    <w:basedOn w:val="Textodstavce"/>
    <w:rsid w:val="00D458A5"/>
    <w:pPr>
      <w:keepNext/>
      <w:keepLines/>
      <w:spacing w:before="640"/>
      <w:ind w:firstLine="0"/>
      <w:jc w:val="center"/>
    </w:pPr>
    <w:rPr>
      <w:b/>
      <w:caps/>
    </w:rPr>
  </w:style>
  <w:style w:type="paragraph" w:customStyle="1" w:styleId="Nadpispodsti">
    <w:name w:val="Nadpis podčásti"/>
    <w:basedOn w:val="Nadpissti"/>
    <w:rsid w:val="00D458A5"/>
    <w:rPr>
      <w:b w:val="0"/>
      <w:bCs/>
      <w:smallCaps/>
      <w:u w:val="single"/>
    </w:rPr>
  </w:style>
  <w:style w:type="paragraph" w:customStyle="1" w:styleId="Nadpisoddlu">
    <w:name w:val="Nadpis oddílu"/>
    <w:basedOn w:val="Textodstavce"/>
    <w:link w:val="NadpisoddluChar"/>
    <w:rsid w:val="00D458A5"/>
    <w:pPr>
      <w:keepNext/>
      <w:spacing w:before="400"/>
      <w:ind w:firstLine="0"/>
      <w:jc w:val="center"/>
    </w:pPr>
    <w:rPr>
      <w:i/>
      <w:smallCaps/>
    </w:rPr>
  </w:style>
  <w:style w:type="paragraph" w:customStyle="1" w:styleId="Default">
    <w:name w:val="Default"/>
    <w:rsid w:val="00D458A5"/>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cs-CZ"/>
      <w14:ligatures w14:val="none"/>
    </w:rPr>
  </w:style>
  <w:style w:type="character" w:styleId="Znakapoznpodarou">
    <w:name w:val="footnote reference"/>
    <w:semiHidden/>
    <w:unhideWhenUsed/>
    <w:rsid w:val="00D458A5"/>
    <w:rPr>
      <w:vertAlign w:val="superscript"/>
    </w:rPr>
  </w:style>
  <w:style w:type="character" w:customStyle="1" w:styleId="cf01">
    <w:name w:val="cf01"/>
    <w:basedOn w:val="Standardnpsmoodstavce"/>
    <w:rsid w:val="00D458A5"/>
    <w:rPr>
      <w:rFonts w:ascii="Segoe UI" w:hAnsi="Segoe UI" w:cs="Segoe UI" w:hint="default"/>
      <w:sz w:val="18"/>
      <w:szCs w:val="18"/>
    </w:rPr>
  </w:style>
  <w:style w:type="paragraph" w:styleId="Revize">
    <w:name w:val="Revision"/>
    <w:hidden/>
    <w:uiPriority w:val="99"/>
    <w:semiHidden/>
    <w:rsid w:val="00F572F8"/>
    <w:pPr>
      <w:spacing w:after="0" w:line="240" w:lineRule="auto"/>
    </w:pPr>
  </w:style>
  <w:style w:type="character" w:styleId="Odkaznakoment">
    <w:name w:val="annotation reference"/>
    <w:basedOn w:val="Standardnpsmoodstavce"/>
    <w:uiPriority w:val="99"/>
    <w:semiHidden/>
    <w:unhideWhenUsed/>
    <w:rsid w:val="006E3940"/>
    <w:rPr>
      <w:sz w:val="16"/>
      <w:szCs w:val="16"/>
    </w:rPr>
  </w:style>
  <w:style w:type="paragraph" w:styleId="Textkomente">
    <w:name w:val="annotation text"/>
    <w:basedOn w:val="Normln"/>
    <w:link w:val="TextkomenteChar"/>
    <w:uiPriority w:val="99"/>
    <w:unhideWhenUsed/>
    <w:rsid w:val="006E3940"/>
    <w:pPr>
      <w:spacing w:line="240" w:lineRule="auto"/>
    </w:pPr>
    <w:rPr>
      <w:sz w:val="20"/>
      <w:szCs w:val="20"/>
    </w:rPr>
  </w:style>
  <w:style w:type="character" w:customStyle="1" w:styleId="TextkomenteChar">
    <w:name w:val="Text komentáře Char"/>
    <w:basedOn w:val="Standardnpsmoodstavce"/>
    <w:link w:val="Textkomente"/>
    <w:uiPriority w:val="99"/>
    <w:rsid w:val="006E3940"/>
    <w:rPr>
      <w:sz w:val="20"/>
      <w:szCs w:val="20"/>
    </w:rPr>
  </w:style>
  <w:style w:type="paragraph" w:styleId="Pedmtkomente">
    <w:name w:val="annotation subject"/>
    <w:basedOn w:val="Textkomente"/>
    <w:next w:val="Textkomente"/>
    <w:link w:val="PedmtkomenteChar"/>
    <w:uiPriority w:val="99"/>
    <w:semiHidden/>
    <w:unhideWhenUsed/>
    <w:rsid w:val="006E3940"/>
    <w:rPr>
      <w:b/>
      <w:bCs/>
    </w:rPr>
  </w:style>
  <w:style w:type="character" w:customStyle="1" w:styleId="PedmtkomenteChar">
    <w:name w:val="Předmět komentáře Char"/>
    <w:basedOn w:val="TextkomenteChar"/>
    <w:link w:val="Pedmtkomente"/>
    <w:uiPriority w:val="99"/>
    <w:semiHidden/>
    <w:rsid w:val="006E3940"/>
    <w:rPr>
      <w:b/>
      <w:bCs/>
      <w:sz w:val="20"/>
      <w:szCs w:val="20"/>
    </w:rPr>
  </w:style>
  <w:style w:type="character" w:styleId="Nevyeenzmnka">
    <w:name w:val="Unresolved Mention"/>
    <w:basedOn w:val="Standardnpsmoodstavce"/>
    <w:uiPriority w:val="99"/>
    <w:semiHidden/>
    <w:unhideWhenUsed/>
    <w:rsid w:val="00862046"/>
    <w:rPr>
      <w:color w:val="605E5C"/>
      <w:shd w:val="clear" w:color="auto" w:fill="E1DFDD"/>
    </w:rPr>
  </w:style>
  <w:style w:type="character" w:styleId="Sledovanodkaz">
    <w:name w:val="FollowedHyperlink"/>
    <w:basedOn w:val="Standardnpsmoodstavce"/>
    <w:uiPriority w:val="99"/>
    <w:semiHidden/>
    <w:unhideWhenUsed/>
    <w:rsid w:val="00857672"/>
    <w:rPr>
      <w:color w:val="954F72" w:themeColor="followedHyperlink"/>
      <w:u w:val="single"/>
    </w:rPr>
  </w:style>
  <w:style w:type="character" w:customStyle="1" w:styleId="NadpisoddluChar">
    <w:name w:val="Nadpis oddílu Char"/>
    <w:link w:val="Nadpisoddlu"/>
    <w:rsid w:val="004800B1"/>
    <w:rPr>
      <w:i/>
      <w:small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6546">
      <w:bodyDiv w:val="1"/>
      <w:marLeft w:val="0"/>
      <w:marRight w:val="0"/>
      <w:marTop w:val="0"/>
      <w:marBottom w:val="0"/>
      <w:divBdr>
        <w:top w:val="none" w:sz="0" w:space="0" w:color="auto"/>
        <w:left w:val="none" w:sz="0" w:space="0" w:color="auto"/>
        <w:bottom w:val="none" w:sz="0" w:space="0" w:color="auto"/>
        <w:right w:val="none" w:sz="0" w:space="0" w:color="auto"/>
      </w:divBdr>
    </w:div>
    <w:div w:id="158889978">
      <w:bodyDiv w:val="1"/>
      <w:marLeft w:val="0"/>
      <w:marRight w:val="0"/>
      <w:marTop w:val="0"/>
      <w:marBottom w:val="0"/>
      <w:divBdr>
        <w:top w:val="none" w:sz="0" w:space="0" w:color="auto"/>
        <w:left w:val="none" w:sz="0" w:space="0" w:color="auto"/>
        <w:bottom w:val="none" w:sz="0" w:space="0" w:color="auto"/>
        <w:right w:val="none" w:sz="0" w:space="0" w:color="auto"/>
      </w:divBdr>
    </w:div>
    <w:div w:id="167445075">
      <w:bodyDiv w:val="1"/>
      <w:marLeft w:val="0"/>
      <w:marRight w:val="0"/>
      <w:marTop w:val="0"/>
      <w:marBottom w:val="0"/>
      <w:divBdr>
        <w:top w:val="none" w:sz="0" w:space="0" w:color="auto"/>
        <w:left w:val="none" w:sz="0" w:space="0" w:color="auto"/>
        <w:bottom w:val="none" w:sz="0" w:space="0" w:color="auto"/>
        <w:right w:val="none" w:sz="0" w:space="0" w:color="auto"/>
      </w:divBdr>
    </w:div>
    <w:div w:id="472991141">
      <w:bodyDiv w:val="1"/>
      <w:marLeft w:val="0"/>
      <w:marRight w:val="0"/>
      <w:marTop w:val="0"/>
      <w:marBottom w:val="0"/>
      <w:divBdr>
        <w:top w:val="none" w:sz="0" w:space="0" w:color="auto"/>
        <w:left w:val="none" w:sz="0" w:space="0" w:color="auto"/>
        <w:bottom w:val="none" w:sz="0" w:space="0" w:color="auto"/>
        <w:right w:val="none" w:sz="0" w:space="0" w:color="auto"/>
      </w:divBdr>
    </w:div>
    <w:div w:id="697240115">
      <w:bodyDiv w:val="1"/>
      <w:marLeft w:val="0"/>
      <w:marRight w:val="0"/>
      <w:marTop w:val="0"/>
      <w:marBottom w:val="0"/>
      <w:divBdr>
        <w:top w:val="none" w:sz="0" w:space="0" w:color="auto"/>
        <w:left w:val="none" w:sz="0" w:space="0" w:color="auto"/>
        <w:bottom w:val="none" w:sz="0" w:space="0" w:color="auto"/>
        <w:right w:val="none" w:sz="0" w:space="0" w:color="auto"/>
      </w:divBdr>
    </w:div>
    <w:div w:id="796948245">
      <w:bodyDiv w:val="1"/>
      <w:marLeft w:val="0"/>
      <w:marRight w:val="0"/>
      <w:marTop w:val="0"/>
      <w:marBottom w:val="0"/>
      <w:divBdr>
        <w:top w:val="none" w:sz="0" w:space="0" w:color="auto"/>
        <w:left w:val="none" w:sz="0" w:space="0" w:color="auto"/>
        <w:bottom w:val="none" w:sz="0" w:space="0" w:color="auto"/>
        <w:right w:val="none" w:sz="0" w:space="0" w:color="auto"/>
      </w:divBdr>
    </w:div>
    <w:div w:id="1011493043">
      <w:bodyDiv w:val="1"/>
      <w:marLeft w:val="0"/>
      <w:marRight w:val="0"/>
      <w:marTop w:val="0"/>
      <w:marBottom w:val="0"/>
      <w:divBdr>
        <w:top w:val="none" w:sz="0" w:space="0" w:color="auto"/>
        <w:left w:val="none" w:sz="0" w:space="0" w:color="auto"/>
        <w:bottom w:val="none" w:sz="0" w:space="0" w:color="auto"/>
        <w:right w:val="none" w:sz="0" w:space="0" w:color="auto"/>
      </w:divBdr>
    </w:div>
    <w:div w:id="1020011074">
      <w:bodyDiv w:val="1"/>
      <w:marLeft w:val="0"/>
      <w:marRight w:val="0"/>
      <w:marTop w:val="0"/>
      <w:marBottom w:val="0"/>
      <w:divBdr>
        <w:top w:val="none" w:sz="0" w:space="0" w:color="auto"/>
        <w:left w:val="none" w:sz="0" w:space="0" w:color="auto"/>
        <w:bottom w:val="none" w:sz="0" w:space="0" w:color="auto"/>
        <w:right w:val="none" w:sz="0" w:space="0" w:color="auto"/>
      </w:divBdr>
    </w:div>
    <w:div w:id="1140002949">
      <w:bodyDiv w:val="1"/>
      <w:marLeft w:val="0"/>
      <w:marRight w:val="0"/>
      <w:marTop w:val="0"/>
      <w:marBottom w:val="0"/>
      <w:divBdr>
        <w:top w:val="none" w:sz="0" w:space="0" w:color="auto"/>
        <w:left w:val="none" w:sz="0" w:space="0" w:color="auto"/>
        <w:bottom w:val="none" w:sz="0" w:space="0" w:color="auto"/>
        <w:right w:val="none" w:sz="0" w:space="0" w:color="auto"/>
      </w:divBdr>
    </w:div>
    <w:div w:id="1410343324">
      <w:bodyDiv w:val="1"/>
      <w:marLeft w:val="0"/>
      <w:marRight w:val="0"/>
      <w:marTop w:val="0"/>
      <w:marBottom w:val="0"/>
      <w:divBdr>
        <w:top w:val="none" w:sz="0" w:space="0" w:color="auto"/>
        <w:left w:val="none" w:sz="0" w:space="0" w:color="auto"/>
        <w:bottom w:val="none" w:sz="0" w:space="0" w:color="auto"/>
        <w:right w:val="none" w:sz="0" w:space="0" w:color="auto"/>
      </w:divBdr>
    </w:div>
    <w:div w:id="1521357677">
      <w:bodyDiv w:val="1"/>
      <w:marLeft w:val="0"/>
      <w:marRight w:val="0"/>
      <w:marTop w:val="0"/>
      <w:marBottom w:val="0"/>
      <w:divBdr>
        <w:top w:val="none" w:sz="0" w:space="0" w:color="auto"/>
        <w:left w:val="none" w:sz="0" w:space="0" w:color="auto"/>
        <w:bottom w:val="none" w:sz="0" w:space="0" w:color="auto"/>
        <w:right w:val="none" w:sz="0" w:space="0" w:color="auto"/>
      </w:divBdr>
    </w:div>
    <w:div w:id="1563634248">
      <w:bodyDiv w:val="1"/>
      <w:marLeft w:val="0"/>
      <w:marRight w:val="0"/>
      <w:marTop w:val="0"/>
      <w:marBottom w:val="0"/>
      <w:divBdr>
        <w:top w:val="none" w:sz="0" w:space="0" w:color="auto"/>
        <w:left w:val="none" w:sz="0" w:space="0" w:color="auto"/>
        <w:bottom w:val="none" w:sz="0" w:space="0" w:color="auto"/>
        <w:right w:val="none" w:sz="0" w:space="0" w:color="auto"/>
      </w:divBdr>
    </w:div>
    <w:div w:id="196819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lus.usoud.cz/Search/GetText.aspx?sz=Pl-2-25_2" TargetMode="External"/><Relationship Id="rId13" Type="http://schemas.openxmlformats.org/officeDocument/2006/relationships/hyperlink" Target="https://mezisoudy.cz/aktuality/evropsky-soud-pro-lidska-prava-dnes-vydal-rozsudky-a-rozhodnuti-ve-ctyrech-vecech-proti-ceske-republice" TargetMode="External"/><Relationship Id="rId18" Type="http://schemas.openxmlformats.org/officeDocument/2006/relationships/hyperlink" Target="https://mezisoudy.cz/vykon-rozsudku-eslp-a-rozhodnuti-dalsich-mezinarodnich-lidskopravnich-organu/z-proti-cr-stihani-sexualniho-nasili" TargetMode="External"/><Relationship Id="rId3" Type="http://schemas.openxmlformats.org/officeDocument/2006/relationships/styles" Target="styles.xml"/><Relationship Id="rId21" Type="http://schemas.openxmlformats.org/officeDocument/2006/relationships/hyperlink" Target="https://mezisoudy.cz/tematicke-prirucky/sexualni-nasili" TargetMode="External"/><Relationship Id="rId7" Type="http://schemas.openxmlformats.org/officeDocument/2006/relationships/endnotes" Target="endnotes.xml"/><Relationship Id="rId12" Type="http://schemas.openxmlformats.org/officeDocument/2006/relationships/hyperlink" Target="https://www.usoud.cz/aktualne/pocatek-promlceci-lhuty-k-uplatneni-naroku-na-nahradu-ujmy-zpusobene-porusenim-prava-na-ucinne-vysetrovani" TargetMode="External"/><Relationship Id="rId17" Type="http://schemas.openxmlformats.org/officeDocument/2006/relationships/hyperlink" Target="https://mezisoudy.cz/vykon-rozsudku-eslp-a-rozhodnuti-dalsich-mezinarodnich-lidskopravnich-organu/z-proti-cr-stihani-sexualniho-nasili" TargetMode="External"/><Relationship Id="rId2" Type="http://schemas.openxmlformats.org/officeDocument/2006/relationships/numbering" Target="numbering.xml"/><Relationship Id="rId16" Type="http://schemas.openxmlformats.org/officeDocument/2006/relationships/hyperlink" Target="https://mezisoudy.cz/zpravodaj-kvz" TargetMode="External"/><Relationship Id="rId20" Type="http://schemas.openxmlformats.org/officeDocument/2006/relationships/hyperlink" Target="https://eslp.nsoud.cz/vyber/22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lus.usoud.cz/Search/GetText.aspx?sz=Pl-27-25_2" TargetMode="External"/><Relationship Id="rId5" Type="http://schemas.openxmlformats.org/officeDocument/2006/relationships/webSettings" Target="webSettings.xml"/><Relationship Id="rId15" Type="http://schemas.openxmlformats.org/officeDocument/2006/relationships/hyperlink" Target="https://mezisoudy.cz/databaze-judikatury" TargetMode="External"/><Relationship Id="rId23" Type="http://schemas.openxmlformats.org/officeDocument/2006/relationships/theme" Target="theme/theme1.xml"/><Relationship Id="rId10" Type="http://schemas.openxmlformats.org/officeDocument/2006/relationships/hyperlink" Target="https://nalus.usoud.cz/Search/GetText.aspx?sz=Pl-27-25_1" TargetMode="External"/><Relationship Id="rId19" Type="http://schemas.openxmlformats.org/officeDocument/2006/relationships/hyperlink" Target="https://mezisoudy.cz/vykon-rozsudku-eslp-a-rozhodnuti-dalsich-mezinarodnich-lidskopravnich-organu/z-proti-cr-stihani-sexualniho-nasili" TargetMode="External"/><Relationship Id="rId4" Type="http://schemas.openxmlformats.org/officeDocument/2006/relationships/settings" Target="settings.xml"/><Relationship Id="rId9" Type="http://schemas.openxmlformats.org/officeDocument/2006/relationships/hyperlink" Target="https://nalus.usoud.cz/Search/GetText.aspx?sz=Pl-2-25_3" TargetMode="External"/><Relationship Id="rId14" Type="http://schemas.openxmlformats.org/officeDocument/2006/relationships/hyperlink" Target="https://mezisoudy.cz/aktuality/evropsky-soud-pro-lidska-prava-dnes-vydal-rozsudek-a-rozhodnuti-ve-trech-vecech-proti-ceske-republic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ezisoudy.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63938-96F8-4AE1-B7B6-91A142FE5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2367</Words>
  <Characters>13968</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Drahorád Jakub</dc:creator>
  <cp:keywords/>
  <dc:description/>
  <cp:lastModifiedBy>Martinková Jana</cp:lastModifiedBy>
  <cp:revision>6</cp:revision>
  <dcterms:created xsi:type="dcterms:W3CDTF">2026-10-12T13:18:00Z</dcterms:created>
  <dcterms:modified xsi:type="dcterms:W3CDTF">2026-10-12T16:56:00Z</dcterms:modified>
</cp:coreProperties>
</file>