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D56AB" w14:textId="65D2C367" w:rsidR="00D458A5" w:rsidRPr="00A31CDB" w:rsidRDefault="00D458A5" w:rsidP="00D458A5">
      <w:pPr>
        <w:pStyle w:val="Nadpishlavn"/>
      </w:pPr>
      <w:r w:rsidRPr="00A31CDB">
        <w:t>Výkon rozsudku Evropského soudu pro lidská práva</w:t>
      </w:r>
      <w:r w:rsidRPr="00A31CDB">
        <w:br/>
        <w:t xml:space="preserve">ve </w:t>
      </w:r>
      <w:r w:rsidRPr="00A31CDB">
        <w:rPr>
          <w:iCs/>
        </w:rPr>
        <w:t>věci</w:t>
      </w:r>
      <w:r w:rsidRPr="00A31CDB">
        <w:t xml:space="preserve"> č. </w:t>
      </w:r>
      <w:r w:rsidRPr="00A31CDB">
        <w:rPr>
          <w:iCs/>
        </w:rPr>
        <w:t>26074/18</w:t>
      </w:r>
      <w:r w:rsidR="00EF7BC0">
        <w:rPr>
          <w:iCs/>
        </w:rPr>
        <w:t xml:space="preserve"> </w:t>
      </w:r>
      <w:r w:rsidR="00EF7BC0" w:rsidRPr="00E127E5">
        <w:rPr>
          <w:lang w:val="en-GB"/>
        </w:rPr>
        <w:t>–</w:t>
      </w:r>
      <w:r w:rsidR="00EF7BC0">
        <w:rPr>
          <w:lang w:val="en-GB"/>
        </w:rPr>
        <w:t xml:space="preserve"> </w:t>
      </w:r>
      <w:r w:rsidRPr="00A31CDB">
        <w:rPr>
          <w:i/>
        </w:rPr>
        <w:t>V proti České republice</w:t>
      </w:r>
      <w:r w:rsidRPr="00A31CDB">
        <w:br/>
        <w:t>A</w:t>
      </w:r>
      <w:r w:rsidR="00EF7BC0">
        <w:t>ktualizovaný a</w:t>
      </w:r>
      <w:r w:rsidRPr="00A31CDB">
        <w:t xml:space="preserve">kční plán předložený vládou České republiky dne </w:t>
      </w:r>
      <w:r w:rsidR="00EF7BC0">
        <w:t>5</w:t>
      </w:r>
      <w:r w:rsidRPr="00A31CDB">
        <w:t>. září 202</w:t>
      </w:r>
      <w:r w:rsidR="00EF7BC0">
        <w:t>5</w:t>
      </w:r>
    </w:p>
    <w:p w14:paraId="3B82A095" w14:textId="77777777" w:rsidR="00D458A5" w:rsidRPr="00A31CDB" w:rsidRDefault="00D458A5" w:rsidP="00D458A5">
      <w:pPr>
        <w:pStyle w:val="Textodstavce"/>
      </w:pPr>
    </w:p>
    <w:p w14:paraId="1D575264" w14:textId="219F46C3" w:rsidR="00D458A5" w:rsidRPr="00A31CDB" w:rsidRDefault="00D458A5" w:rsidP="00D458A5">
      <w:pPr>
        <w:pStyle w:val="Textodstavce"/>
      </w:pPr>
      <w:r w:rsidRPr="00A31CDB">
        <w:t>V rozsudku ze dne 7. prosince 2023, který nabyl právní moci v souladu s článkem 44 odst. 2 písm. b) Úmluvy, Evropský soud pro lidská práva (dále jen "Soud") rozhodl, že došlo k porušení článku 2 Úmluvy v souvislosti se smrtí pacienta v psychiatrické léčebně po opakovaném</w:t>
      </w:r>
      <w:r w:rsidR="00F572F8">
        <w:t xml:space="preserve"> použití</w:t>
      </w:r>
      <w:r w:rsidRPr="00A31CDB">
        <w:t xml:space="preserve"> taseru ze strany policie a podání sedativ zdravotní sestrou</w:t>
      </w:r>
      <w:r w:rsidR="00A31CDB" w:rsidRPr="00A31CDB">
        <w:t>.</w:t>
      </w:r>
    </w:p>
    <w:p w14:paraId="3A008D23" w14:textId="20FC6CB6" w:rsidR="00D458A5" w:rsidRPr="00A31CDB" w:rsidRDefault="00D458A5" w:rsidP="00D458A5">
      <w:pPr>
        <w:pStyle w:val="Textodstavce"/>
      </w:pPr>
      <w:r w:rsidRPr="00A31CDB">
        <w:t xml:space="preserve">Soud shledal porušení článku 2 </w:t>
      </w:r>
      <w:r w:rsidRPr="00A31CDB">
        <w:rPr>
          <w:i/>
          <w:iCs/>
        </w:rPr>
        <w:t xml:space="preserve">jednak v </w:t>
      </w:r>
      <w:r w:rsidRPr="00A31CDB">
        <w:t xml:space="preserve">jeho hmotněprávní části, a to zejména z důvodu, že stát </w:t>
      </w:r>
      <w:r w:rsidRPr="003926A8">
        <w:rPr>
          <w:color w:val="000000" w:themeColor="text1"/>
        </w:rPr>
        <w:t xml:space="preserve">nezavedl vhodný správní rámec </w:t>
      </w:r>
      <w:r w:rsidRPr="00A31CDB">
        <w:t>(pokyny a školení pro situace</w:t>
      </w:r>
      <w:r w:rsidR="003926A8">
        <w:t xml:space="preserve"> v obdobných případech</w:t>
      </w:r>
      <w:r w:rsidRPr="00A31CDB">
        <w:t>)</w:t>
      </w:r>
      <w:r w:rsidRPr="00A31CDB">
        <w:rPr>
          <w:i/>
          <w:iCs/>
        </w:rPr>
        <w:t xml:space="preserve">, a jednak </w:t>
      </w:r>
      <w:r w:rsidRPr="00A31CDB">
        <w:t>v jeho procesní části z důvodu různých opomenutí a nedostatků, které mohly narušit účinnost vyšetřování daného incidentu.</w:t>
      </w:r>
    </w:p>
    <w:p w14:paraId="42334424" w14:textId="121A5176" w:rsidR="00D458A5" w:rsidRPr="00A31CDB" w:rsidRDefault="00D458A5" w:rsidP="00D458A5">
      <w:pPr>
        <w:pStyle w:val="Textodstavce"/>
      </w:pPr>
      <w:r w:rsidRPr="00A31CDB">
        <w:t xml:space="preserve">Cílem tohoto </w:t>
      </w:r>
      <w:r w:rsidR="00EF7BC0">
        <w:t xml:space="preserve">aktualizovaného </w:t>
      </w:r>
      <w:r w:rsidRPr="00A31CDB">
        <w:t xml:space="preserve">akčního plánu je informovat Výbor ministrů o </w:t>
      </w:r>
      <w:r w:rsidR="00EF7BC0">
        <w:t>individuální</w:t>
      </w:r>
      <w:r w:rsidRPr="00A31CDB">
        <w:t>ch i obecných opatřeních, která již byla p</w:t>
      </w:r>
      <w:r w:rsidR="00F572F8">
        <w:t>řijata</w:t>
      </w:r>
      <w:r w:rsidRPr="00A31CDB">
        <w:t xml:space="preserve"> nebo jejichž přijetí se předpokládá za účelem řádného výkonu výše uvedeného rozsudku.</w:t>
      </w:r>
    </w:p>
    <w:p w14:paraId="43C9FD68" w14:textId="77777777" w:rsidR="00D458A5" w:rsidRPr="00A31CDB" w:rsidRDefault="00D458A5" w:rsidP="00D458A5">
      <w:pPr>
        <w:pStyle w:val="Nadpissti"/>
      </w:pPr>
      <w:r w:rsidRPr="00A31CDB">
        <w:t>I. Individuální opatření</w:t>
      </w:r>
    </w:p>
    <w:p w14:paraId="370B60F0" w14:textId="7F8484C7" w:rsidR="00D458A5" w:rsidRPr="00A31CDB" w:rsidRDefault="00D458A5" w:rsidP="00D458A5">
      <w:pPr>
        <w:pStyle w:val="Textodstavce"/>
      </w:pPr>
      <w:r w:rsidRPr="00A31CDB">
        <w:t xml:space="preserve">Soudem přiznané spravedlivé zadostiučinění ve výši 29 000 EUR bylo </w:t>
      </w:r>
      <w:r w:rsidR="00F572F8">
        <w:t>stěžovatelce</w:t>
      </w:r>
      <w:r w:rsidRPr="00A31CDB">
        <w:t xml:space="preserve"> vyplaceno dne 27. května 2024.</w:t>
      </w:r>
      <w:r w:rsidRPr="00A31CDB">
        <w:rPr>
          <w:rStyle w:val="Znakapoznpodarou"/>
        </w:rPr>
        <w:footnoteReference w:id="1"/>
      </w:r>
    </w:p>
    <w:p w14:paraId="4A92AF14" w14:textId="12FD81CC" w:rsidR="00D458A5" w:rsidRPr="00A31CDB" w:rsidRDefault="00D458A5" w:rsidP="00D458A5">
      <w:pPr>
        <w:pStyle w:val="Textodstavce"/>
      </w:pPr>
      <w:r w:rsidRPr="00A31CDB">
        <w:t xml:space="preserve">Vláda připomíná, že zákon o Ústavním soudu nabízí možnost požádat o obnovu řízení před Ústavním soudem </w:t>
      </w:r>
      <w:r w:rsidR="00F572F8">
        <w:t>v návaznosti na</w:t>
      </w:r>
      <w:r w:rsidRPr="00A31CDB">
        <w:t xml:space="preserve"> vydání rozhodnutí</w:t>
      </w:r>
      <w:r w:rsidR="00F572F8">
        <w:t xml:space="preserve"> Soudu</w:t>
      </w:r>
      <w:r w:rsidRPr="00A31CDB">
        <w:t>.</w:t>
      </w:r>
      <w:r w:rsidRPr="00A31CDB">
        <w:rPr>
          <w:rStyle w:val="Znakapoznpodarou"/>
        </w:rPr>
        <w:footnoteReference w:id="2"/>
      </w:r>
      <w:r w:rsidRPr="00A31CDB">
        <w:t xml:space="preserve"> Stěžovatelka této možnosti nevyužila.</w:t>
      </w:r>
    </w:p>
    <w:p w14:paraId="78536E93" w14:textId="2D37E265" w:rsidR="00D458A5" w:rsidRPr="00A31CDB" w:rsidRDefault="00D458A5" w:rsidP="00D458A5">
      <w:pPr>
        <w:pStyle w:val="Textodstavce"/>
      </w:pPr>
      <w:r w:rsidRPr="00A31CDB">
        <w:t>S ohledem na výše uvedené se vláda domnívá, že v případě stěžovatel</w:t>
      </w:r>
      <w:r w:rsidR="00F572F8">
        <w:t>ky</w:t>
      </w:r>
      <w:r w:rsidRPr="00A31CDB">
        <w:t xml:space="preserve"> není třeba přijímat žádná další individuální opatření.</w:t>
      </w:r>
    </w:p>
    <w:p w14:paraId="33C5F537" w14:textId="77777777" w:rsidR="00D458A5" w:rsidRPr="00A31CDB" w:rsidRDefault="00D458A5" w:rsidP="00D458A5">
      <w:pPr>
        <w:pStyle w:val="Nadpissti"/>
      </w:pPr>
      <w:r w:rsidRPr="00A31CDB">
        <w:t>II. obecná opatření</w:t>
      </w:r>
    </w:p>
    <w:p w14:paraId="4C5D038A" w14:textId="77777777" w:rsidR="00D458A5" w:rsidRPr="00A31CDB" w:rsidRDefault="00D458A5" w:rsidP="00D458A5">
      <w:pPr>
        <w:pStyle w:val="Nadpispodsti"/>
        <w:spacing w:before="360"/>
        <w:rPr>
          <w:i/>
          <w:iCs/>
          <w:u w:val="none"/>
        </w:rPr>
      </w:pPr>
      <w:r w:rsidRPr="00A31CDB">
        <w:rPr>
          <w:i/>
          <w:iCs/>
          <w:u w:val="none"/>
        </w:rPr>
        <w:t>A. Zvyšování povědomí a analýza rozsudku</w:t>
      </w:r>
    </w:p>
    <w:p w14:paraId="275DA6B1" w14:textId="62217C0B" w:rsidR="00D458A5" w:rsidRPr="00A31CDB" w:rsidRDefault="00D458A5" w:rsidP="00D458A5">
      <w:pPr>
        <w:pStyle w:val="Textodstavce"/>
      </w:pPr>
      <w:r w:rsidRPr="00A31CDB">
        <w:t xml:space="preserve">Ministerstvo spravedlnosti informovalo veřejnost o rozsudku bezprostředně po jeho vyhlášení formou </w:t>
      </w:r>
      <w:hyperlink r:id="rId8" w:history="1">
        <w:r w:rsidRPr="00A31CDB">
          <w:rPr>
            <w:rStyle w:val="Hypertextovodkaz"/>
          </w:rPr>
          <w:t>tiskové zprávy</w:t>
        </w:r>
      </w:hyperlink>
      <w:r w:rsidRPr="00A31CDB">
        <w:t>. Dále zveřejnilo český překlad rozsudku ve své internetové databázi mezinárodní lidskoprávní judikatury (</w:t>
      </w:r>
      <w:hyperlink r:id="rId9" w:history="1">
        <w:r w:rsidRPr="00A31CDB">
          <w:rPr>
            <w:rStyle w:val="Hypertextovodkaz"/>
          </w:rPr>
          <w:t>mezisoudy.cz</w:t>
        </w:r>
      </w:hyperlink>
      <w:r w:rsidRPr="00A31CDB">
        <w:t>)</w:t>
      </w:r>
      <w:r w:rsidRPr="00A31CDB">
        <w:rPr>
          <w:rStyle w:val="Znakapoznpodarou"/>
        </w:rPr>
        <w:footnoteReference w:id="3"/>
      </w:r>
      <w:r w:rsidRPr="00A31CDB">
        <w:t xml:space="preserve"> a jeho shrnutí ve Zpravodaji </w:t>
      </w:r>
      <w:r w:rsidRPr="00A31CDB">
        <w:lastRenderedPageBreak/>
        <w:t>vládního zmocněnce č. 2/2024 (</w:t>
      </w:r>
      <w:hyperlink r:id="rId10" w:history="1">
        <w:r w:rsidRPr="00A31CDB">
          <w:rPr>
            <w:rStyle w:val="Hypertextovodkaz"/>
          </w:rPr>
          <w:t>Zpravodaj KVZ)</w:t>
        </w:r>
      </w:hyperlink>
      <w:r w:rsidRPr="00A31CDB">
        <w:t xml:space="preserve">. Kromě toho byly překlad rozsudku i jeho shrnutí zaslány všem orgánům veřejné moci, které se případem zabývaly. </w:t>
      </w:r>
    </w:p>
    <w:p w14:paraId="4ED09ACF" w14:textId="747F2706" w:rsidR="00D458A5" w:rsidRPr="00A31CDB" w:rsidRDefault="00D458A5" w:rsidP="00D458A5">
      <w:pPr>
        <w:pStyle w:val="Textodstavce"/>
      </w:pPr>
      <w:r w:rsidRPr="00A31CDB">
        <w:t>Po vy</w:t>
      </w:r>
      <w:r w:rsidR="00276E66">
        <w:t>hlášení</w:t>
      </w:r>
      <w:r w:rsidRPr="00A31CDB">
        <w:t xml:space="preserve"> rozsudku předalo vedení Generální inspekce bezpečnostních sborů (dále jen "GI</w:t>
      </w:r>
      <w:r w:rsidR="00F533BD">
        <w:t>BS</w:t>
      </w:r>
      <w:r w:rsidRPr="00A31CDB">
        <w:t>") a Policejního prezidia závěry Soud</w:t>
      </w:r>
      <w:r w:rsidR="00F533BD">
        <w:t xml:space="preserve">u </w:t>
      </w:r>
      <w:r w:rsidRPr="00A31CDB">
        <w:t xml:space="preserve">podřízeným příslušníkům svých bezpečnostních sborů. </w:t>
      </w:r>
    </w:p>
    <w:p w14:paraId="33CFCE1E" w14:textId="0B2354C6" w:rsidR="00D458A5" w:rsidRPr="00A31CDB" w:rsidRDefault="00D458A5" w:rsidP="00D458A5">
      <w:pPr>
        <w:pStyle w:val="Textodstavce"/>
      </w:pPr>
      <w:r w:rsidRPr="00A31CDB">
        <w:t xml:space="preserve">Současně </w:t>
      </w:r>
      <w:r w:rsidR="00F533BD">
        <w:t>Kancelář vládního zmocněnce</w:t>
      </w:r>
      <w:r w:rsidRPr="00A31CDB">
        <w:t xml:space="preserve"> projednal</w:t>
      </w:r>
      <w:r w:rsidR="00F533BD">
        <w:t>a</w:t>
      </w:r>
      <w:r w:rsidRPr="00A31CDB">
        <w:t xml:space="preserve"> a analyzoval</w:t>
      </w:r>
      <w:r w:rsidR="00F533BD">
        <w:t>a</w:t>
      </w:r>
      <w:r w:rsidRPr="00A31CDB">
        <w:t xml:space="preserve"> obsah rozsudku ve spolupráci s Ministerstvem zdravotnictví, Policejním prezidiem, Ministerstvem vnitra, GI</w:t>
      </w:r>
      <w:r w:rsidR="00F533BD">
        <w:t>BS</w:t>
      </w:r>
      <w:r w:rsidRPr="00A31CDB">
        <w:t xml:space="preserve">, Nejvyšším státním zastupitelstvím a Kanceláří veřejného ochránce práv. Tato jednání probíhala nejprve formou písemných konzultací a </w:t>
      </w:r>
      <w:r w:rsidR="00276E66" w:rsidRPr="00A31CDB">
        <w:t>následně – v</w:t>
      </w:r>
      <w:r w:rsidRPr="00A31CDB">
        <w:t xml:space="preserve"> dubnu </w:t>
      </w:r>
      <w:r w:rsidR="00276E66" w:rsidRPr="00A31CDB">
        <w:t>2024</w:t>
      </w:r>
      <w:r w:rsidR="00EF7BC0">
        <w:t xml:space="preserve"> </w:t>
      </w:r>
      <w:r w:rsidR="00276E66" w:rsidRPr="00A31CDB">
        <w:t>–</w:t>
      </w:r>
      <w:r w:rsidR="00EF7BC0">
        <w:t xml:space="preserve"> </w:t>
      </w:r>
      <w:r w:rsidR="00276E66" w:rsidRPr="00A31CDB">
        <w:t>v</w:t>
      </w:r>
      <w:r w:rsidRPr="00A31CDB">
        <w:t xml:space="preserve"> rámci série schůzek pořádaných </w:t>
      </w:r>
      <w:r w:rsidR="00F533BD">
        <w:t>Kanceláří vládního zmocněnce</w:t>
      </w:r>
      <w:r w:rsidR="00F533BD" w:rsidRPr="00A31CDB">
        <w:t xml:space="preserve"> </w:t>
      </w:r>
      <w:r w:rsidRPr="00A31CDB">
        <w:t>se zástupci úřadů s cílem identifikovat obecná opatření potřebná k řádné implementaci rozsudku.</w:t>
      </w:r>
    </w:p>
    <w:p w14:paraId="46232359" w14:textId="71EAEA9C" w:rsidR="00D458A5" w:rsidRDefault="00D458A5" w:rsidP="00D458A5">
      <w:pPr>
        <w:pStyle w:val="Textodstavce"/>
      </w:pPr>
      <w:r w:rsidRPr="00A31CDB">
        <w:t>Výkon roz</w:t>
      </w:r>
      <w:r w:rsidR="00E76C77">
        <w:t>sudku</w:t>
      </w:r>
      <w:r w:rsidRPr="00A31CDB">
        <w:t xml:space="preserve"> byl dále projednáván na 10.</w:t>
      </w:r>
      <w:r w:rsidRPr="00A31CDB">
        <w:rPr>
          <w:vertAlign w:val="superscript"/>
        </w:rPr>
        <w:t xml:space="preserve"> </w:t>
      </w:r>
      <w:r w:rsidRPr="00A31CDB">
        <w:t xml:space="preserve">zasedání </w:t>
      </w:r>
      <w:r w:rsidR="00F533BD">
        <w:t>Kolegia</w:t>
      </w:r>
      <w:r w:rsidRPr="00A31CDB">
        <w:t xml:space="preserve"> expertů pro výkon roz</w:t>
      </w:r>
      <w:r w:rsidR="006E3940">
        <w:t>sudků</w:t>
      </w:r>
      <w:r w:rsidRPr="00A31CDB">
        <w:t xml:space="preserve"> Soud</w:t>
      </w:r>
      <w:r w:rsidR="00F533BD">
        <w:t xml:space="preserve">u </w:t>
      </w:r>
      <w:r w:rsidRPr="00A31CDB">
        <w:t xml:space="preserve">a </w:t>
      </w:r>
      <w:r w:rsidR="00F533BD">
        <w:t>implementaci</w:t>
      </w:r>
      <w:r w:rsidRPr="00A31CDB">
        <w:t xml:space="preserve"> </w:t>
      </w:r>
      <w:r w:rsidR="00F533BD">
        <w:t>Ú</w:t>
      </w:r>
      <w:r w:rsidRPr="00A31CDB">
        <w:t>mluvy</w:t>
      </w:r>
      <w:r w:rsidRPr="00A31CDB">
        <w:rPr>
          <w:rStyle w:val="Znakapoznpodarou"/>
        </w:rPr>
        <w:footnoteReference w:id="4"/>
      </w:r>
      <w:r w:rsidRPr="00A31CDB">
        <w:t>, které se konalo dne 6. května 2024</w:t>
      </w:r>
      <w:r w:rsidR="00862046">
        <w:t xml:space="preserve">, jakož i na 11. jednání dne 11. prosince 2024 a na 12. jednání dne 15. května 2025; zápisy z těchto jednání jsou dostupné </w:t>
      </w:r>
      <w:hyperlink r:id="rId11" w:history="1">
        <w:r w:rsidR="00862046" w:rsidRPr="00862046">
          <w:rPr>
            <w:rStyle w:val="Hypertextovodkaz"/>
          </w:rPr>
          <w:t>online</w:t>
        </w:r>
      </w:hyperlink>
      <w:r w:rsidR="00862046">
        <w:t>.</w:t>
      </w:r>
    </w:p>
    <w:p w14:paraId="43E8B81E" w14:textId="5DB38BDB" w:rsidR="00EF7BC0" w:rsidRDefault="00862046" w:rsidP="00D458A5">
      <w:pPr>
        <w:pStyle w:val="Textodstavce"/>
      </w:pPr>
      <w:r>
        <w:t xml:space="preserve">Zástupkyně Kanceláře vládního zmocněnce navíc </w:t>
      </w:r>
      <w:r w:rsidR="007D031C">
        <w:t xml:space="preserve">vystoupila v podcastu natočeném v prosinci 2024 mezinárodní organizací </w:t>
      </w:r>
      <w:r w:rsidR="007D031C" w:rsidRPr="007D031C">
        <w:rPr>
          <w:i/>
          <w:iCs/>
        </w:rPr>
        <w:t>Victim Support Europe</w:t>
      </w:r>
      <w:r w:rsidR="007D031C">
        <w:t xml:space="preserve">, kde spolu s právním zástupcem stěžovatelky ve věci </w:t>
      </w:r>
      <w:r w:rsidR="007D031C" w:rsidRPr="007D031C">
        <w:rPr>
          <w:i/>
          <w:iCs/>
        </w:rPr>
        <w:t>V proti České republice</w:t>
      </w:r>
      <w:r w:rsidR="007D031C">
        <w:t xml:space="preserve"> diskutovali o právních dopadech rozsudku Soudu a o jeho implementaci; jedná se o první z podcastů dostupných na </w:t>
      </w:r>
      <w:hyperlink r:id="rId12" w:anchor="LTG-Podcast" w:history="1">
        <w:r w:rsidR="007D031C" w:rsidRPr="007D031C">
          <w:rPr>
            <w:rStyle w:val="Hypertextovodkaz"/>
          </w:rPr>
          <w:t>této stránce</w:t>
        </w:r>
      </w:hyperlink>
      <w:r w:rsidR="007D031C">
        <w:t>.</w:t>
      </w:r>
    </w:p>
    <w:p w14:paraId="4D0FEDFD" w14:textId="77777777" w:rsidR="00D458A5" w:rsidRPr="00A31CDB" w:rsidRDefault="00D458A5" w:rsidP="00D458A5">
      <w:pPr>
        <w:pStyle w:val="Nadpispodsti"/>
        <w:spacing w:before="360"/>
        <w:rPr>
          <w:i/>
          <w:iCs/>
          <w:u w:val="none"/>
        </w:rPr>
      </w:pPr>
      <w:r w:rsidRPr="00A31CDB">
        <w:rPr>
          <w:i/>
          <w:iCs/>
          <w:u w:val="none"/>
        </w:rPr>
        <w:t xml:space="preserve">B. Opatření přijatá příslušnou psychiatrickou nemocnicí </w:t>
      </w:r>
    </w:p>
    <w:p w14:paraId="7729E8E2" w14:textId="6B2D94EC" w:rsidR="00D458A5" w:rsidRPr="00A31CDB" w:rsidRDefault="00D458A5" w:rsidP="00D458A5">
      <w:pPr>
        <w:pStyle w:val="Textodstavce"/>
      </w:pPr>
      <w:r w:rsidRPr="00A31CDB">
        <w:t>Nemocnice v</w:t>
      </w:r>
      <w:r w:rsidR="0004691D">
        <w:t> </w:t>
      </w:r>
      <w:r w:rsidRPr="00A31CDB">
        <w:t>O</w:t>
      </w:r>
      <w:r w:rsidR="0004691D">
        <w:t>.</w:t>
      </w:r>
      <w:r w:rsidRPr="00A31CDB">
        <w:t>, kde k incidentu došlo v roce 2015, mezitím přijala následující opatření:</w:t>
      </w:r>
    </w:p>
    <w:p w14:paraId="1DD82E79" w14:textId="7D9ABDBD" w:rsidR="00D458A5" w:rsidRPr="00A31CDB" w:rsidRDefault="00D458A5" w:rsidP="00D458A5">
      <w:pPr>
        <w:pStyle w:val="Textodstavce"/>
        <w:numPr>
          <w:ilvl w:val="0"/>
          <w:numId w:val="1"/>
        </w:numPr>
      </w:pPr>
      <w:r w:rsidRPr="00A31CDB">
        <w:t xml:space="preserve">rekonstrukce prostor oddělení akutní péče psychiatrické kliniky, jejímž cílem </w:t>
      </w:r>
      <w:r w:rsidR="006E3940">
        <w:t>bylo</w:t>
      </w:r>
      <w:r w:rsidRPr="00A31CDB">
        <w:t xml:space="preserve"> zvýš</w:t>
      </w:r>
      <w:r w:rsidR="006E3940">
        <w:t>ení</w:t>
      </w:r>
      <w:r w:rsidRPr="00A31CDB">
        <w:t xml:space="preserve"> bezpečnost</w:t>
      </w:r>
      <w:r w:rsidR="006E3940">
        <w:t>i</w:t>
      </w:r>
      <w:r w:rsidRPr="00A31CDB">
        <w:t xml:space="preserve"> pacientů i personálu (instalace účinnějšího kamerového systému, odstranění rizikových prvků v</w:t>
      </w:r>
      <w:r w:rsidR="006E3940">
        <w:t xml:space="preserve"> konstrukci</w:t>
      </w:r>
      <w:r w:rsidRPr="00A31CDB">
        <w:t>, regulace osvětlení, propojení vnitřní části se zahradou);</w:t>
      </w:r>
    </w:p>
    <w:p w14:paraId="097BA1EA" w14:textId="0E40E847" w:rsidR="00D458A5" w:rsidRPr="00A31CDB" w:rsidRDefault="00D458A5" w:rsidP="00D458A5">
      <w:pPr>
        <w:pStyle w:val="Textodstavce"/>
        <w:numPr>
          <w:ilvl w:val="0"/>
          <w:numId w:val="1"/>
        </w:numPr>
      </w:pPr>
      <w:r w:rsidRPr="00A31CDB">
        <w:t xml:space="preserve">pravidelné školení zaměstnanců (zdravotnického i nezdravotnického personálu) v oblasti prevence a zvládání rizikového chování pacientů, včetně deeskalačních technik; </w:t>
      </w:r>
      <w:r w:rsidR="007D031C">
        <w:t>od roku 2015 bylo vyškoleno 404 zaměstnanců psychiatrické kliniky na půdě samotné kliniky a 40 zaměstnanců v externích institucích);</w:t>
      </w:r>
    </w:p>
    <w:p w14:paraId="66FF4C32" w14:textId="45E20B5D" w:rsidR="00D458A5" w:rsidRPr="00A31CDB" w:rsidRDefault="00D458A5" w:rsidP="00D458A5">
      <w:pPr>
        <w:pStyle w:val="Textodstavce"/>
        <w:numPr>
          <w:ilvl w:val="0"/>
          <w:numId w:val="1"/>
        </w:numPr>
      </w:pPr>
      <w:r w:rsidRPr="00A31CDB">
        <w:t>zvýšení počtu pracovníků, zejména na oddělení akutní péče psychiatrické kliniky</w:t>
      </w:r>
      <w:r w:rsidR="007D031C">
        <w:t xml:space="preserve"> (zatímco v lednu 2015 měla psychiatrická klinika 69 zaměstnanců, v dubnu 2025 se tento počet zvýšil na 87)</w:t>
      </w:r>
      <w:r w:rsidRPr="00A31CDB">
        <w:t>;</w:t>
      </w:r>
    </w:p>
    <w:p w14:paraId="6B1B1139" w14:textId="1441BFC0" w:rsidR="00D458A5" w:rsidRPr="00A31CDB" w:rsidRDefault="00D458A5" w:rsidP="00D458A5">
      <w:pPr>
        <w:pStyle w:val="Textodstavce"/>
        <w:numPr>
          <w:ilvl w:val="0"/>
          <w:numId w:val="1"/>
        </w:numPr>
      </w:pPr>
      <w:r w:rsidRPr="00A31CDB">
        <w:lastRenderedPageBreak/>
        <w:t xml:space="preserve">vytvoření strategie a pokynů, jak postupovat v případě </w:t>
      </w:r>
      <w:r w:rsidR="00276E66">
        <w:t>rozrušených</w:t>
      </w:r>
      <w:r w:rsidRPr="00A31CDB">
        <w:t xml:space="preserve"> pacientů</w:t>
      </w:r>
      <w:r w:rsidR="007D031C">
        <w:t>, a jejich úspěšná implementace v praxi (především se jedná o to, že každý zaměstnanec psychiatrické kliniky, který je ve službě, má u sebe speciální zařízení s SOS tlačítkem, které lze aktivovat v případě agresivního pacienta, což spustí zvukový alarm v budově kliniky a rovněž vyšle automatickou SMS bezpečnostní službě nemocnice)</w:t>
      </w:r>
      <w:r w:rsidRPr="00A31CDB">
        <w:t>.</w:t>
      </w:r>
    </w:p>
    <w:p w14:paraId="0870A99A" w14:textId="77777777" w:rsidR="00D458A5" w:rsidRPr="00A31CDB" w:rsidRDefault="00D458A5" w:rsidP="00D458A5">
      <w:pPr>
        <w:pStyle w:val="Nadpispodsti"/>
        <w:spacing w:before="360"/>
        <w:rPr>
          <w:i/>
          <w:iCs/>
          <w:u w:val="none"/>
        </w:rPr>
      </w:pPr>
      <w:r w:rsidRPr="00A31CDB">
        <w:rPr>
          <w:i/>
          <w:iCs/>
          <w:u w:val="none"/>
        </w:rPr>
        <w:t>C. opatření v působnosti ministerstva zdravotnictví</w:t>
      </w:r>
    </w:p>
    <w:p w14:paraId="65273004" w14:textId="55865666" w:rsidR="00D458A5" w:rsidRPr="00A31CDB" w:rsidRDefault="00D458A5" w:rsidP="00D458A5">
      <w:pPr>
        <w:pStyle w:val="Nadpisoddlu"/>
      </w:pPr>
      <w:r w:rsidRPr="00A31CDB">
        <w:t>1. Shromažďování a vyhodnocování údajů o policejních zá</w:t>
      </w:r>
      <w:r w:rsidR="008D6052">
        <w:t>sazích</w:t>
      </w:r>
      <w:r w:rsidRPr="00A31CDB">
        <w:t xml:space="preserve"> v psychiatrických </w:t>
      </w:r>
      <w:r w:rsidR="008D6052">
        <w:t>nemocnicích</w:t>
      </w:r>
    </w:p>
    <w:p w14:paraId="5ED5E870" w14:textId="1063F777" w:rsidR="007D031C" w:rsidRDefault="00D458A5" w:rsidP="007D031C">
      <w:pPr>
        <w:pStyle w:val="Textodstavce"/>
      </w:pPr>
      <w:r w:rsidRPr="00A31CDB">
        <w:t xml:space="preserve">Soud poukázal na to, </w:t>
      </w:r>
      <w:r w:rsidR="0061528D" w:rsidRPr="0061528D">
        <w:t>že není nic neobvyklého, pokud začnou být pacienti hospitalizovaní na oddělení akutní péče psychiatrické kliniky rozrušení nebo násilní</w:t>
      </w:r>
      <w:r w:rsidR="0061528D" w:rsidRPr="0004691D">
        <w:t>;</w:t>
      </w:r>
      <w:r w:rsidR="0061528D" w:rsidRPr="0061528D">
        <w:t xml:space="preserve"> </w:t>
      </w:r>
      <w:r w:rsidRPr="00A31CDB">
        <w:t xml:space="preserve">proto musí psychiatrická zařízení </w:t>
      </w:r>
      <w:r w:rsidR="0061528D">
        <w:t>zásadně mít</w:t>
      </w:r>
      <w:r w:rsidRPr="00A31CDB">
        <w:t xml:space="preserve"> </w:t>
      </w:r>
      <w:r w:rsidR="0061528D" w:rsidRPr="0061528D">
        <w:t>dostatek personálu a být natolik vybavena, aby takové pacienty zvládla vlastními prostředky</w:t>
      </w:r>
      <w:r w:rsidR="0061528D">
        <w:t xml:space="preserve">, </w:t>
      </w:r>
      <w:r w:rsidR="0061528D" w:rsidRPr="0061528D">
        <w:t>a aby tedy žádost o asistenci policie byla výlučně krajní možností</w:t>
      </w:r>
      <w:r w:rsidR="007D031C">
        <w:t xml:space="preserve"> </w:t>
      </w:r>
      <w:r w:rsidR="007D031C" w:rsidRPr="00A31CDB">
        <w:t xml:space="preserve">(viz § </w:t>
      </w:r>
      <w:r w:rsidR="007D031C">
        <w:t>100</w:t>
      </w:r>
      <w:r w:rsidR="007D031C" w:rsidRPr="00A31CDB">
        <w:t xml:space="preserve"> rozsudku).</w:t>
      </w:r>
    </w:p>
    <w:p w14:paraId="62C47AB4" w14:textId="1D5C89D7" w:rsidR="002F34BF" w:rsidRDefault="007D031C" w:rsidP="002F34BF">
      <w:pPr>
        <w:pStyle w:val="Textodstavce"/>
      </w:pPr>
      <w:r>
        <w:t xml:space="preserve">V lednu 2025 Ministerstvo zdravotnictví </w:t>
      </w:r>
      <w:r w:rsidR="002F34BF">
        <w:t xml:space="preserve">zadalo úkol pro </w:t>
      </w:r>
      <w:r w:rsidR="002F34BF" w:rsidRPr="002F34BF">
        <w:t>Ústav zdravotnických informací a statistiky</w:t>
      </w:r>
      <w:r w:rsidR="002F34BF">
        <w:t xml:space="preserve"> k realizaci sběru dat o tom, jak často zdravotnická zařízení přivolávají bezpečnostní složky, aby jim asistovaly s agresivními pacienty. Tento sběr dat bude realizován prostřednictvím </w:t>
      </w:r>
      <w:r w:rsidR="002F34BF" w:rsidRPr="002F34BF">
        <w:t>systému hlášení nežádoucích událostí</w:t>
      </w:r>
      <w:r w:rsidR="002F34BF">
        <w:t xml:space="preserve"> (SHNU) a bude poprvé realizován v květnu 2027 za údaje pokrývající rok 2026.</w:t>
      </w:r>
      <w:r w:rsidR="002F34BF">
        <w:rPr>
          <w:rStyle w:val="Znakapoznpodarou"/>
        </w:rPr>
        <w:footnoteReference w:id="5"/>
      </w:r>
    </w:p>
    <w:p w14:paraId="00FAA230" w14:textId="1623A72A" w:rsidR="007D031C" w:rsidRPr="00A31CDB" w:rsidRDefault="002F34BF" w:rsidP="004321CC">
      <w:pPr>
        <w:pStyle w:val="Textodstavce"/>
      </w:pPr>
      <w:r>
        <w:t>Systém sběru dat bude rozlišovat mezi přivoláním interní bezpečnostní služby dané nemocnice a externími bezpečnostními sbory (Policie ČR a obecní policie). Z</w:t>
      </w:r>
      <w:r w:rsidRPr="002F34BF">
        <w:t xml:space="preserve">ároveň bude v rámci evidence rozlišováno mezi případy, kdy se zásah omezil na pouhé přivolání bezpečnostních složek k pacientovi, aniž by došlo k zásahu, a mezi situacemi, kdy bezpečnostní složky skutečně vůči pacientům zasáhly za použití síly. </w:t>
      </w:r>
      <w:r w:rsidR="004321CC">
        <w:t xml:space="preserve">Výsledkem sběru dat budou </w:t>
      </w:r>
      <w:r w:rsidRPr="002F34BF">
        <w:t>agregovaná data v jednotlivých kategoriích poskytovatelů lůžkové péče. Těmito kategoriemi jsou: a) fakultní a velké nemocnice, b) ostatní nemocnice akutní péče, c) specializovaná centra, d) psychiatrické nemocnice, e) nemocnice následné péče, f) lázně a léčebny. Uvedený sběr dat umožní M</w:t>
      </w:r>
      <w:r w:rsidR="004321CC">
        <w:t>inisterstvu zdravotnictví</w:t>
      </w:r>
      <w:r w:rsidRPr="002F34BF">
        <w:t xml:space="preserve"> lépe identifikovat segment poskytované péče, který se jeví jako problematický. </w:t>
      </w:r>
      <w:r w:rsidR="004321CC">
        <w:t>To mu následně usnadní alokaci personálních a finančních zdrojů konkrétnímu segmentu či zařízením.</w:t>
      </w:r>
    </w:p>
    <w:p w14:paraId="35F88371" w14:textId="692C357C" w:rsidR="00D458A5" w:rsidRPr="00A31CDB" w:rsidRDefault="00D458A5" w:rsidP="00D458A5">
      <w:pPr>
        <w:pStyle w:val="Nadpisoddlu"/>
      </w:pPr>
      <w:r w:rsidRPr="00A31CDB">
        <w:t xml:space="preserve">2. Školení zdravotnického personálu v deeskalaci </w:t>
      </w:r>
      <w:r w:rsidRPr="00A31CDB">
        <w:br/>
        <w:t>a bezpečném</w:t>
      </w:r>
      <w:r w:rsidR="00AF513F">
        <w:t xml:space="preserve"> po</w:t>
      </w:r>
      <w:r w:rsidRPr="00A31CDB">
        <w:t>užívání omezovacích prostředků</w:t>
      </w:r>
    </w:p>
    <w:p w14:paraId="19D76896" w14:textId="6B375F19" w:rsidR="00D458A5" w:rsidRPr="00A31CDB" w:rsidRDefault="00D458A5" w:rsidP="00D458A5">
      <w:pPr>
        <w:pStyle w:val="Textodstavce"/>
      </w:pPr>
      <w:r w:rsidRPr="00A31CDB">
        <w:t xml:space="preserve">Soud zdůraznil, že příslušné zdravotnické orgány a vedení psychiatrických zařízení by měly zajistit bezpečné </w:t>
      </w:r>
      <w:r w:rsidR="00276E66">
        <w:t>a chráněné</w:t>
      </w:r>
      <w:r w:rsidRPr="00A31CDB">
        <w:t xml:space="preserve"> prostředí, zaměstnávat dostatečný počet zdravotnického personálu, který by měl být náležitě vyškolen v omezování pacientů, a podporovat alternativní opatření, včetně deeskalačních technik (viz § 95 rozsudku).</w:t>
      </w:r>
    </w:p>
    <w:p w14:paraId="10D599EB" w14:textId="77777777" w:rsidR="004321CC" w:rsidRDefault="00D458A5" w:rsidP="00D458A5">
      <w:pPr>
        <w:pStyle w:val="Textodstavce"/>
      </w:pPr>
      <w:r w:rsidRPr="00A31CDB">
        <w:t>Za tímto účelem považuje Ministerstvo zdravotnictví za důležité posílit podporu vzdělávání zdravotnického personálu v oblasti strategií a dovedností zaměřených na prevenci a zvládání rizikového chování pacientů. Ministerstvo již v této oblasti podniklo některé kroky, např. uspořádalo několik seminářů k představení tzv. Safewards</w:t>
      </w:r>
      <w:r w:rsidR="00AF513F" w:rsidRPr="00A31CDB">
        <w:t xml:space="preserve"> modelu</w:t>
      </w:r>
      <w:r w:rsidRPr="00A31CDB">
        <w:t xml:space="preserve">, mezinárodně uznávaného přístupu ke zvýšení bezpečnosti v psychiatrických zařízeních pro všechny dotčené osoby. </w:t>
      </w:r>
    </w:p>
    <w:p w14:paraId="4CC74678" w14:textId="302A8436" w:rsidR="004321CC" w:rsidRPr="004321CC" w:rsidRDefault="00D458A5" w:rsidP="004321CC">
      <w:pPr>
        <w:pStyle w:val="Textodstavce"/>
      </w:pPr>
      <w:r w:rsidRPr="00A31CDB">
        <w:t xml:space="preserve">V září 2024 ministerstvo rovněž zahájilo realizaci nového projektu s názvem </w:t>
      </w:r>
      <w:hyperlink r:id="rId13" w:history="1">
        <w:r w:rsidRPr="004321CC">
          <w:rPr>
            <w:rStyle w:val="Hypertextovodkaz"/>
            <w:i/>
            <w:iCs/>
          </w:rPr>
          <w:t>Rozvoj akutní psychiatrické péče</w:t>
        </w:r>
      </w:hyperlink>
      <w:r w:rsidRPr="00A31CDB">
        <w:t>, jehož jedním z cílů je organizovat vzdělávání zdravotnického personálu v</w:t>
      </w:r>
      <w:r w:rsidR="004321CC">
        <w:t xml:space="preserve"> strategiích a dovednostech na prevenci a zvládání rizikového chování pacientů. Realizace tohoto projektu je plánována na 36 měsíců. </w:t>
      </w:r>
      <w:r w:rsidR="004321CC" w:rsidRPr="004321CC">
        <w:t xml:space="preserve">V rámci projektu bylo připraveno dvoudenní školení pro vedoucí pracovníky „Vybraná témata z oblasti akutní psychiatrické péče“, které obsahuje témata právní (nedobrovolná hospitalizace, nedobrovolná léčba, omezovací prostředky, režimová opatření, naplňování lidských práv, autonomie pacientů), zapojování peer pracovníků v akutní péči, dva bloky úvodu do deeskalace, prevence konfliktů, fyzické intervence, management rizik, nastavení pravidelného systému proškolování pracovníků apod. První školení se uskutečnilo </w:t>
      </w:r>
      <w:r w:rsidR="004321CC">
        <w:t xml:space="preserve">v </w:t>
      </w:r>
      <w:r w:rsidR="004321CC" w:rsidRPr="004321CC">
        <w:t>červn</w:t>
      </w:r>
      <w:r w:rsidR="004321CC">
        <w:t>u</w:t>
      </w:r>
      <w:r w:rsidR="004321CC" w:rsidRPr="004321CC">
        <w:t xml:space="preserve"> 2025, druhé je plánováno na říj</w:t>
      </w:r>
      <w:r w:rsidR="004321CC">
        <w:t>en</w:t>
      </w:r>
      <w:r w:rsidR="004321CC" w:rsidRPr="004321CC">
        <w:t xml:space="preserve"> 2025. Na tato školení pro vedoucí pracovníky bude v roce 2026 navazovat školení 30 lektorů/</w:t>
      </w:r>
      <w:r w:rsidR="004321CC">
        <w:t xml:space="preserve"> </w:t>
      </w:r>
      <w:r w:rsidR="004321CC" w:rsidRPr="004321CC">
        <w:t xml:space="preserve">zaměstnanců poskytovatelů akutní lůžkové psychiatrické péče, kteří budou dále školit pracovníky zejména v rámci svého zařízení. Obsahem jejich školení bude prevence konfliktů, nastavení podmínek podporující prevenci konfliktů, naplňování lidských práv při poskytování psychiatrické péče v lůžkových zařízeních, verbální deeskalační techny a asertivní komunikace, práce s pacientem s agresí, restriktivní opatření a užívání omezovacích prostředků, a rovněž postup při nedobrovolné hospitalizaci. Toto školení bude řešeno veřejnou zakázkou, která se nyní připravuje. </w:t>
      </w:r>
    </w:p>
    <w:p w14:paraId="33FC0199" w14:textId="46928B2D" w:rsidR="004321CC" w:rsidRPr="004321CC" w:rsidRDefault="004321CC" w:rsidP="004321CC">
      <w:pPr>
        <w:pStyle w:val="Textodstavce"/>
      </w:pPr>
      <w:r w:rsidRPr="004321CC">
        <w:t xml:space="preserve">V lednu 2025 nadto vznikla </w:t>
      </w:r>
      <w:hyperlink r:id="rId14" w:history="1">
        <w:r w:rsidRPr="004321CC">
          <w:rPr>
            <w:rStyle w:val="Hypertextovodkaz"/>
          </w:rPr>
          <w:t>expertní rada</w:t>
        </w:r>
      </w:hyperlink>
      <w:r w:rsidRPr="004321CC">
        <w:t xml:space="preserve"> pro prevenci a deeskalaci konfliktů a agresivního chování při poskytování psychiatrických služeb, a to pod Odbornou radou pro rozvoj zdravotních služeb v oblasti duševního zdraví, která byla zřízena Národním institutem kvality a excelence zdravotnictví v roce 2024. Cílem činnosti expertní rady je zavést kvalitní, jednotné a dostupné vzdělávání zdravotníků v této oblasti. </w:t>
      </w:r>
    </w:p>
    <w:p w14:paraId="18BE2636" w14:textId="55EB7E63" w:rsidR="00D458A5" w:rsidRPr="00A31CDB" w:rsidRDefault="00D458A5" w:rsidP="00D458A5">
      <w:pPr>
        <w:pStyle w:val="Nadpispodsti"/>
        <w:spacing w:before="360"/>
        <w:rPr>
          <w:i/>
          <w:iCs/>
          <w:u w:val="none"/>
        </w:rPr>
      </w:pPr>
      <w:r w:rsidRPr="00A31CDB">
        <w:rPr>
          <w:i/>
          <w:iCs/>
          <w:u w:val="none"/>
        </w:rPr>
        <w:t>D. opatření v pravomoci polic</w:t>
      </w:r>
      <w:r w:rsidR="00276E66">
        <w:rPr>
          <w:i/>
          <w:iCs/>
          <w:u w:val="none"/>
        </w:rPr>
        <w:t>ie</w:t>
      </w:r>
      <w:r w:rsidRPr="00A31CDB">
        <w:rPr>
          <w:i/>
          <w:iCs/>
          <w:u w:val="none"/>
        </w:rPr>
        <w:t xml:space="preserve"> </w:t>
      </w:r>
      <w:r w:rsidRPr="00A31CDB">
        <w:rPr>
          <w:i/>
          <w:iCs/>
          <w:u w:val="none"/>
        </w:rPr>
        <w:br/>
        <w:t>a ministerstva vnitra</w:t>
      </w:r>
    </w:p>
    <w:p w14:paraId="51CC92A6" w14:textId="77777777" w:rsidR="00D458A5" w:rsidRPr="00A31CDB" w:rsidRDefault="00D458A5" w:rsidP="00D458A5">
      <w:pPr>
        <w:pStyle w:val="Nadpisoddlu"/>
      </w:pPr>
      <w:r w:rsidRPr="00A31CDB">
        <w:t>1. Speciální policejní výcvikový program pro jednání s duševně narušenými osobami</w:t>
      </w:r>
    </w:p>
    <w:p w14:paraId="3022CA84" w14:textId="77777777" w:rsidR="00D458A5" w:rsidRPr="00A31CDB" w:rsidRDefault="00D458A5" w:rsidP="00D458A5">
      <w:pPr>
        <w:pStyle w:val="Textodstavce"/>
      </w:pPr>
      <w:r w:rsidRPr="00A31CDB">
        <w:t>Soud vyjádřil politování nad tím, že v České republice neexistuje žádný speciální vzdělávací program pro policisty, který by se zabýval specifickými problémy při jednání s osobami trpícími psychosociálním postižením (viz § 107 rozsudku).</w:t>
      </w:r>
    </w:p>
    <w:p w14:paraId="41BFE61F" w14:textId="1CEFCB53" w:rsidR="00D458A5" w:rsidRPr="00A31CDB" w:rsidRDefault="00D458A5" w:rsidP="00D458A5">
      <w:pPr>
        <w:pStyle w:val="Textodstavce"/>
      </w:pPr>
      <w:r w:rsidRPr="00A31CDB">
        <w:t xml:space="preserve">Vláda vzala na vědomí akční zprávu předloženou belgickou vládou v podobném případě, a to ve </w:t>
      </w:r>
      <w:r w:rsidRPr="00A31CDB">
        <w:rPr>
          <w:i/>
          <w:iCs/>
        </w:rPr>
        <w:t>věci Kaya proti Belgii</w:t>
      </w:r>
      <w:r w:rsidRPr="00A31CDB">
        <w:t>. Zpráva byla schválena Výborem ministrů dne 14. prosince 2022; podle ní bude belgická policie vyškolena v jednání s osobami ve stavu tzv.</w:t>
      </w:r>
      <w:r w:rsidR="00EF481B">
        <w:t xml:space="preserve"> excitovaného</w:t>
      </w:r>
      <w:r w:rsidRPr="00A31CDB">
        <w:t xml:space="preserve"> deliria, které může být způsobeno duševní chorobou nebo intoxikací.</w:t>
      </w:r>
      <w:r w:rsidRPr="00A31CDB">
        <w:rPr>
          <w:rStyle w:val="Znakapoznpodarou"/>
        </w:rPr>
        <w:footnoteReference w:id="6"/>
      </w:r>
    </w:p>
    <w:p w14:paraId="7D7E73EA" w14:textId="12EA1E08" w:rsidR="00857672" w:rsidRDefault="00857672" w:rsidP="00857672">
      <w:pPr>
        <w:pStyle w:val="Textodstavce"/>
      </w:pPr>
      <w:r>
        <w:t xml:space="preserve">V listopadu 2024 </w:t>
      </w:r>
      <w:r w:rsidR="00D458A5" w:rsidRPr="00A31CDB">
        <w:t xml:space="preserve">Policejní prezidium </w:t>
      </w:r>
      <w:r>
        <w:t>požádalo</w:t>
      </w:r>
      <w:r w:rsidR="00D458A5" w:rsidRPr="00A31CDB">
        <w:t xml:space="preserve"> Českou psychiatrickou společnost</w:t>
      </w:r>
      <w:r>
        <w:t xml:space="preserve"> o metodický materiál zaměřený na to, jak mohou policisté během zákroku identifikovat osobu se zjevnou duševní poruchou či intoxikací a jak v takové situaci postupovat, včetně instrukcí k použití deeskalačních technik.</w:t>
      </w:r>
    </w:p>
    <w:p w14:paraId="3B8FCA79" w14:textId="2A03A71F" w:rsidR="00857672" w:rsidRPr="00857672" w:rsidRDefault="00857672" w:rsidP="00857672">
      <w:pPr>
        <w:pStyle w:val="Textodstavce"/>
      </w:pPr>
      <w:r>
        <w:t xml:space="preserve">V dubnu 2025 Česká psychiatrická společnost vydala toto doporučení, které bylo následně zařazeno do </w:t>
      </w:r>
      <w:r w:rsidRPr="00857672">
        <w:t xml:space="preserve">výukového materiálu v kurzu Instruktor služební přípravy, jehož nejbližší běh začíná </w:t>
      </w:r>
      <w:r>
        <w:t>v září 2</w:t>
      </w:r>
      <w:r w:rsidRPr="00857672">
        <w:t xml:space="preserve">025 a poté bude součástí pravidelných prolongačních kurzů, kterými každý instruktor služební přípravy prochází vždy v pětiletém intervalu. </w:t>
      </w:r>
      <w:r>
        <w:t xml:space="preserve"> </w:t>
      </w:r>
      <w:r w:rsidRPr="00857672">
        <w:t xml:space="preserve">Prostřednictvím uvedených instruktorů je zajištěna distribuce potřebných informací všem policistům absolvujícím </w:t>
      </w:r>
      <w:r>
        <w:t xml:space="preserve">pravidelnou služební přípravu. </w:t>
      </w:r>
      <w:r w:rsidRPr="00857672">
        <w:t xml:space="preserve">Dále byl tento text předán k využití vyučujícím v nástupním kurzu </w:t>
      </w:r>
      <w:r>
        <w:t>z</w:t>
      </w:r>
      <w:r w:rsidRPr="00857672">
        <w:t>ákladní odborn</w:t>
      </w:r>
      <w:r>
        <w:t>é</w:t>
      </w:r>
      <w:r w:rsidRPr="00857672">
        <w:t xml:space="preserve"> příprav</w:t>
      </w:r>
      <w:r>
        <w:t>y</w:t>
      </w:r>
      <w:r w:rsidRPr="00857672">
        <w:t>.</w:t>
      </w:r>
    </w:p>
    <w:p w14:paraId="79EC07A1" w14:textId="1743DBDF" w:rsidR="00D458A5" w:rsidRPr="00A31CDB" w:rsidRDefault="00857672" w:rsidP="00857672">
      <w:pPr>
        <w:pStyle w:val="Textodstavce"/>
      </w:pPr>
      <w:r w:rsidRPr="00857672">
        <w:t xml:space="preserve">Natáčení doprovodného videomateriálu, který bude jako doplněk výše uvedeného textu distribuován v elektronické vzdělávací platformě </w:t>
      </w:r>
      <w:r w:rsidRPr="00A31CDB">
        <w:rPr>
          <w:i/>
          <w:iCs/>
        </w:rPr>
        <w:t>ePolis</w:t>
      </w:r>
      <w:r w:rsidRPr="00857672">
        <w:t xml:space="preserve">, </w:t>
      </w:r>
      <w:r>
        <w:t>je plánováno na podzim 2025.</w:t>
      </w:r>
    </w:p>
    <w:p w14:paraId="6EED998E" w14:textId="3455E376" w:rsidR="00D458A5" w:rsidRPr="00A31CDB" w:rsidRDefault="00D458A5" w:rsidP="00D458A5">
      <w:pPr>
        <w:pStyle w:val="Nadpisoddlu"/>
      </w:pPr>
      <w:r w:rsidRPr="00A31CDB">
        <w:t>2. Po</w:t>
      </w:r>
      <w:r w:rsidR="00EF481B">
        <w:t>ziční</w:t>
      </w:r>
      <w:r w:rsidRPr="00A31CDB">
        <w:t xml:space="preserve"> asfyxie</w:t>
      </w:r>
    </w:p>
    <w:p w14:paraId="2C28D659" w14:textId="1181A166" w:rsidR="00D458A5" w:rsidRPr="00A31CDB" w:rsidRDefault="00D458A5" w:rsidP="00D458A5">
      <w:pPr>
        <w:pStyle w:val="Textodstavce"/>
      </w:pPr>
      <w:r w:rsidRPr="00A31CDB">
        <w:t>Soud konstatoval, že policisté pacienta uložili do polohy vleže na</w:t>
      </w:r>
      <w:r w:rsidR="00EF481B">
        <w:t xml:space="preserve"> břiše</w:t>
      </w:r>
      <w:r w:rsidRPr="00A31CDB">
        <w:t xml:space="preserve">, tj. hrudníkem </w:t>
      </w:r>
      <w:r w:rsidR="00EF481B">
        <w:t>k zemi</w:t>
      </w:r>
      <w:r w:rsidRPr="00A31CDB">
        <w:t xml:space="preserve">; v této souvislosti Soud upozornil na skutečnost, že poloha vleže na </w:t>
      </w:r>
      <w:r w:rsidR="00EF481B">
        <w:t>břiše</w:t>
      </w:r>
      <w:r w:rsidRPr="00A31CDB">
        <w:t xml:space="preserve"> může vést k po</w:t>
      </w:r>
      <w:r w:rsidR="00EF481B">
        <w:t>ziční</w:t>
      </w:r>
      <w:r w:rsidRPr="00A31CDB">
        <w:t xml:space="preserve"> asfyxii z důvodu tlaku vyvíjeného na krk; znemožňuje také sledovat, zda dotyčná osoba skutečně dýchá (viz § 97 rozsudku).</w:t>
      </w:r>
      <w:r w:rsidR="00EF481B">
        <w:t xml:space="preserve"> </w:t>
      </w:r>
    </w:p>
    <w:p w14:paraId="35B3CE41" w14:textId="06F39559" w:rsidR="00D458A5" w:rsidRPr="00A31CDB" w:rsidRDefault="00EF481B" w:rsidP="00D458A5">
      <w:pPr>
        <w:pStyle w:val="Textodstavce"/>
      </w:pPr>
      <w:r w:rsidRPr="00EF481B">
        <w:t xml:space="preserve">Útvar policejního vzdělávání a služební přípravy </w:t>
      </w:r>
      <w:r w:rsidR="00D458A5" w:rsidRPr="00A31CDB">
        <w:t>vydal 7. června 2022 metodický pokyn k po</w:t>
      </w:r>
      <w:r>
        <w:t>ziční</w:t>
      </w:r>
      <w:r w:rsidR="00D458A5" w:rsidRPr="00A31CDB">
        <w:t xml:space="preserve"> asfyxii.</w:t>
      </w:r>
      <w:r w:rsidR="00D458A5" w:rsidRPr="00A31CDB">
        <w:rPr>
          <w:rStyle w:val="Znakapoznpodarou"/>
        </w:rPr>
        <w:footnoteReference w:id="7"/>
      </w:r>
      <w:r w:rsidR="00D458A5" w:rsidRPr="00A31CDB">
        <w:t xml:space="preserve"> Tento pokyn obsahuje podrobné pokyny v této oblasti, včetně popisu inherentních rizik a pravidla, že polohu vleže na </w:t>
      </w:r>
      <w:r>
        <w:t>břiše</w:t>
      </w:r>
      <w:r w:rsidR="00D458A5" w:rsidRPr="00A31CDB">
        <w:t xml:space="preserve"> lze použít pouze za výjimečných okolností a na nezbytně nutnou dobu, přičemž je třeba průběžně sledovat dýchání a zdravotní stav dotyčné osoby. Policisté jsou povinni s dotyčnou osobou komunikovat a okamžitě reagovat na jakékoli známky obtíží s dýcháním.</w:t>
      </w:r>
    </w:p>
    <w:p w14:paraId="4DFC56C0" w14:textId="2521BF25" w:rsidR="00D458A5" w:rsidRDefault="00D458A5" w:rsidP="00D458A5">
      <w:pPr>
        <w:pStyle w:val="Textodstavce"/>
      </w:pPr>
      <w:r w:rsidRPr="00A31CDB">
        <w:t xml:space="preserve">Na základě tohoto pokynu byli vyškoleni všichni instruktoři odborného policejního vzdělávání, kteří následně školí jednotlivé policisty v rámci standardního vzdělávacího policejního programu. Současně bylo do výše uvedeného elektronického vzdělávacího systému </w:t>
      </w:r>
      <w:r w:rsidRPr="00A31CDB">
        <w:rPr>
          <w:i/>
          <w:iCs/>
        </w:rPr>
        <w:t xml:space="preserve">ePolis </w:t>
      </w:r>
      <w:r w:rsidRPr="00A31CDB">
        <w:t>za</w:t>
      </w:r>
      <w:r w:rsidR="000475A2">
        <w:t>řazeno</w:t>
      </w:r>
      <w:r w:rsidRPr="00A31CDB">
        <w:t xml:space="preserve"> instruktážní video doprovázející tento pokyn.</w:t>
      </w:r>
    </w:p>
    <w:p w14:paraId="583B38D5" w14:textId="4D26A81C" w:rsidR="00CB596D" w:rsidRPr="00A31CDB" w:rsidRDefault="00CB596D" w:rsidP="00D458A5">
      <w:pPr>
        <w:pStyle w:val="Textodstavce"/>
      </w:pPr>
      <w:r>
        <w:t xml:space="preserve">Dne 24. září 2024 bylo dále vydáno další metodické doporučení </w:t>
      </w:r>
      <w:r w:rsidRPr="00EF481B">
        <w:t>Útvar</w:t>
      </w:r>
      <w:r>
        <w:t>u</w:t>
      </w:r>
      <w:r w:rsidRPr="00EF481B">
        <w:t xml:space="preserve"> policejního vzdělávání a služební přípravy</w:t>
      </w:r>
      <w:r>
        <w:t xml:space="preserve">, </w:t>
      </w:r>
      <w:r w:rsidR="00F72222">
        <w:t xml:space="preserve">a to s důrazem na problematiku poziční a kompresní asfyxie. Toto doporučení se věnuje specifickým rizikům uvedených technik vůči osobám v mimořádně silném psychickém rozrušení způsobeném nemocí nebo intoxikací a popisuje preventivní opatření a postupy, které by měly být v této souvislosti dodržovány. Rovněž toto doporučení bylo již promítnuto do vzdělávacího systému </w:t>
      </w:r>
      <w:r w:rsidR="00F72222" w:rsidRPr="00A31CDB">
        <w:rPr>
          <w:i/>
          <w:iCs/>
        </w:rPr>
        <w:t>ePolis</w:t>
      </w:r>
      <w:r w:rsidR="00F72222">
        <w:t>, včetně instruktážních videí.</w:t>
      </w:r>
    </w:p>
    <w:p w14:paraId="6498D3FF" w14:textId="77777777" w:rsidR="00D458A5" w:rsidRPr="00A31CDB" w:rsidRDefault="00D458A5" w:rsidP="00D458A5">
      <w:pPr>
        <w:pStyle w:val="Nadpisoddlu"/>
      </w:pPr>
      <w:r w:rsidRPr="00A31CDB">
        <w:t>3. Použití taseru</w:t>
      </w:r>
    </w:p>
    <w:p w14:paraId="5609CC14" w14:textId="55E5544B" w:rsidR="00D458A5" w:rsidRPr="00A31CDB" w:rsidRDefault="00D458A5" w:rsidP="00D458A5">
      <w:pPr>
        <w:pStyle w:val="Textodstavce"/>
      </w:pPr>
      <w:r w:rsidRPr="00A31CDB">
        <w:t>Soud poznamenal, že české právní předpisy neobsahují žádná zvláštní ustanovení týkající se použití taseru proti osobám s duševní poruchou nebo obecněji proti osobám, které byly hospitalizovány a které pravděpodobně byly léčeny: tyto osoby nejsou zahrnuty mezi zranitelné skupiny osob výslovně uvedené v § 58 odst. 1 zákona o policii (viz § 103</w:t>
      </w:r>
      <w:r w:rsidR="00F72222">
        <w:t>–</w:t>
      </w:r>
      <w:r w:rsidRPr="00A31CDB">
        <w:t>104 rozsudku)</w:t>
      </w:r>
      <w:r w:rsidR="000475A2">
        <w:t>.</w:t>
      </w:r>
    </w:p>
    <w:p w14:paraId="50E7116D" w14:textId="4054A85B" w:rsidR="00D458A5" w:rsidRPr="00A31CDB" w:rsidRDefault="00D458A5" w:rsidP="00D458A5">
      <w:pPr>
        <w:pStyle w:val="Textodstavce"/>
      </w:pPr>
      <w:r w:rsidRPr="00A31CDB">
        <w:t xml:space="preserve">Vláda po konzultacích s Policejním prezidiem a Ministerstvem vnitra předpokládá, že </w:t>
      </w:r>
      <w:r w:rsidR="00F5526C">
        <w:t>implementace</w:t>
      </w:r>
      <w:r w:rsidRPr="00A31CDB">
        <w:t xml:space="preserve"> této části rozsudku nevyžaduje nutně novelu zákona o policii. Namísto toho se jeví jako dostačující sjednotit výklad jeho výše uvedeného ustanovení a tento výklad promítnout do policejního vzdělávání. </w:t>
      </w:r>
    </w:p>
    <w:p w14:paraId="4B946D98" w14:textId="77777777" w:rsidR="00D458A5" w:rsidRPr="00A31CDB" w:rsidRDefault="00D458A5" w:rsidP="00D458A5">
      <w:pPr>
        <w:pStyle w:val="Textodstavce"/>
      </w:pPr>
      <w:r w:rsidRPr="00A31CDB">
        <w:t>V srpnu 2024 přijalo Ministerstvo vnitra výkladový pokyn k § 58 odst. 1 zákona o policii (viz § 31 rozsudku), podle kterého se pojem "osoba se zjevným tělesným postižením nebo nemocí" v tomto ustanovení vztahuje i na osoby se zjevnou duševní poruchou, jakož i na osoby hospitalizované.</w:t>
      </w:r>
    </w:p>
    <w:p w14:paraId="183D48BF" w14:textId="77777777" w:rsidR="00D458A5" w:rsidRPr="00A31CDB" w:rsidRDefault="00D458A5" w:rsidP="00D458A5">
      <w:pPr>
        <w:pStyle w:val="Nadpispodsti"/>
        <w:spacing w:before="360"/>
        <w:rPr>
          <w:i/>
          <w:iCs/>
          <w:u w:val="none"/>
        </w:rPr>
      </w:pPr>
      <w:r w:rsidRPr="00A31CDB">
        <w:rPr>
          <w:i/>
          <w:iCs/>
          <w:u w:val="none"/>
        </w:rPr>
        <w:t xml:space="preserve">E. koordinace mezi policisty a zdravotníky </w:t>
      </w:r>
      <w:r w:rsidRPr="00A31CDB">
        <w:rPr>
          <w:i/>
          <w:iCs/>
          <w:u w:val="none"/>
        </w:rPr>
        <w:br/>
        <w:t>v případech společného zásahu</w:t>
      </w:r>
    </w:p>
    <w:p w14:paraId="021C89C7" w14:textId="63075005" w:rsidR="00D458A5" w:rsidRPr="00A31CDB" w:rsidRDefault="00D458A5" w:rsidP="00D458A5">
      <w:pPr>
        <w:pStyle w:val="Textodstavce"/>
        <w:rPr>
          <w:rFonts w:cstheme="minorHAnsi"/>
        </w:rPr>
      </w:pPr>
      <w:r w:rsidRPr="00A31CDB">
        <w:t xml:space="preserve">Soud zdůraznil, že v České republice neexistuje žádný </w:t>
      </w:r>
      <w:r w:rsidR="000475A2">
        <w:rPr>
          <w:rFonts w:cstheme="minorHAnsi"/>
          <w:color w:val="000000"/>
        </w:rPr>
        <w:t>předpis</w:t>
      </w:r>
      <w:r w:rsidRPr="00A31CDB">
        <w:rPr>
          <w:rFonts w:cstheme="minorHAnsi"/>
          <w:color w:val="000000"/>
        </w:rPr>
        <w:t xml:space="preserve"> nebo </w:t>
      </w:r>
      <w:r w:rsidRPr="00A31CDB">
        <w:rPr>
          <w:rFonts w:cstheme="minorHAnsi"/>
        </w:rPr>
        <w:t xml:space="preserve">metodický pokyn, který by vyžadoval, aby </w:t>
      </w:r>
      <w:r w:rsidR="00F5526C">
        <w:rPr>
          <w:rFonts w:cstheme="minorHAnsi"/>
        </w:rPr>
        <w:t>probíhala</w:t>
      </w:r>
      <w:r w:rsidRPr="00A31CDB">
        <w:rPr>
          <w:rFonts w:cstheme="minorHAnsi"/>
        </w:rPr>
        <w:t xml:space="preserve"> spolupráce a koordinace mezi zdravotníky a policisty zasahujícími v psychiatrických zařízeních (viz § 108 rozsudku).</w:t>
      </w:r>
      <w:r w:rsidR="000475A2">
        <w:rPr>
          <w:rFonts w:cstheme="minorHAnsi"/>
        </w:rPr>
        <w:t xml:space="preserve"> </w:t>
      </w:r>
    </w:p>
    <w:p w14:paraId="39857DA3" w14:textId="23B5EC04" w:rsidR="00D458A5" w:rsidRDefault="00D458A5" w:rsidP="00F72222">
      <w:pPr>
        <w:pStyle w:val="Textodstavce"/>
      </w:pPr>
      <w:r w:rsidRPr="00A31CDB">
        <w:rPr>
          <w:rFonts w:cstheme="minorHAnsi"/>
        </w:rPr>
        <w:t xml:space="preserve">Po analýze situace se příslušné orgány shodly na tom, že pro </w:t>
      </w:r>
      <w:r w:rsidR="00F5526C">
        <w:rPr>
          <w:rFonts w:cstheme="minorHAnsi"/>
        </w:rPr>
        <w:t>implementaci</w:t>
      </w:r>
      <w:r w:rsidRPr="00A31CDB">
        <w:rPr>
          <w:rFonts w:cstheme="minorHAnsi"/>
        </w:rPr>
        <w:t xml:space="preserve"> této části rozsudku bude nejlepším postupem zřízení </w:t>
      </w:r>
      <w:r w:rsidR="00F5526C">
        <w:rPr>
          <w:rFonts w:cstheme="minorHAnsi"/>
        </w:rPr>
        <w:t>mezirezortní</w:t>
      </w:r>
      <w:r w:rsidRPr="00A31CDB">
        <w:rPr>
          <w:rFonts w:cstheme="minorHAnsi"/>
        </w:rPr>
        <w:t xml:space="preserve"> pracovní skupiny, jejímž cílem bude vypracovat pravidla pro společný zásah policistů a zdravotníků proti </w:t>
      </w:r>
      <w:r w:rsidRPr="00A31CDB">
        <w:t>osobám v excitovaném deliriu</w:t>
      </w:r>
      <w:r w:rsidRPr="00A31CDB">
        <w:rPr>
          <w:rFonts w:cstheme="minorHAnsi"/>
        </w:rPr>
        <w:t xml:space="preserve">, a to jak v nemocničním prostředí, tak </w:t>
      </w:r>
      <w:r w:rsidR="00F72222">
        <w:rPr>
          <w:rFonts w:cstheme="minorHAnsi"/>
        </w:rPr>
        <w:t>v terénu</w:t>
      </w:r>
      <w:r w:rsidRPr="00A31CDB">
        <w:rPr>
          <w:rFonts w:cstheme="minorHAnsi"/>
        </w:rPr>
        <w:t>. V srpnu 2024 vydalo Ministerstvo zdravotnictví</w:t>
      </w:r>
      <w:r w:rsidR="00D35C5E">
        <w:rPr>
          <w:rFonts w:cstheme="minorHAnsi"/>
        </w:rPr>
        <w:t xml:space="preserve"> </w:t>
      </w:r>
      <w:r w:rsidR="00F72222">
        <w:rPr>
          <w:rFonts w:cstheme="minorHAnsi"/>
        </w:rPr>
        <w:t>zřizovací dekret o ustanove</w:t>
      </w:r>
      <w:r w:rsidRPr="00A31CDB">
        <w:rPr>
          <w:rFonts w:cstheme="minorHAnsi"/>
        </w:rPr>
        <w:t xml:space="preserve">ní </w:t>
      </w:r>
      <w:r w:rsidR="00F5526C">
        <w:rPr>
          <w:rFonts w:cstheme="minorHAnsi"/>
        </w:rPr>
        <w:t>mezirezortní</w:t>
      </w:r>
      <w:r w:rsidRPr="00A31CDB">
        <w:rPr>
          <w:rFonts w:cstheme="minorHAnsi"/>
        </w:rPr>
        <w:t xml:space="preserve"> pracovní skupiny pro implementaci rozsudku </w:t>
      </w:r>
      <w:r w:rsidRPr="00A31CDB">
        <w:rPr>
          <w:i/>
          <w:iCs/>
        </w:rPr>
        <w:t>V proti České republice</w:t>
      </w:r>
      <w:r w:rsidRPr="00A31CDB">
        <w:t xml:space="preserve">. Podle </w:t>
      </w:r>
      <w:r w:rsidR="00F72222">
        <w:t>tohoto dekretu</w:t>
      </w:r>
      <w:r w:rsidRPr="00A31CDB">
        <w:t xml:space="preserve"> </w:t>
      </w:r>
      <w:r w:rsidR="00F72222">
        <w:t>j</w:t>
      </w:r>
      <w:r w:rsidRPr="00A31CDB">
        <w:t xml:space="preserve">e pracovní skupina složena ze zástupců Ministerstva zdravotnictví, Policie ČR, </w:t>
      </w:r>
      <w:r w:rsidR="00D35C5E">
        <w:t>Psychiatrické společnosti ČLS JEP, Psychiatrické sekce České asociace sester</w:t>
      </w:r>
      <w:r w:rsidRPr="00A31CDB">
        <w:t xml:space="preserve">, Asociace zdravotnických záchranných služeb ČR, Asociace nemocnic ČR, Pacientské rady a také </w:t>
      </w:r>
      <w:r w:rsidR="00D35C5E">
        <w:t>Kanceláře vládního zmocněnce.</w:t>
      </w:r>
      <w:r w:rsidRPr="00A31CDB">
        <w:t xml:space="preserve"> </w:t>
      </w:r>
      <w:r w:rsidR="00F72222">
        <w:t>Posláním pracovní skupiny je vypracovat pravidla pro koordinaci a spolupráci při společném zásahu zdravotníků a policistů,</w:t>
      </w:r>
    </w:p>
    <w:p w14:paraId="561A3BBA" w14:textId="23AAF809" w:rsidR="00F72222" w:rsidRDefault="00F72222" w:rsidP="00F72222">
      <w:pPr>
        <w:pStyle w:val="Textodstavce"/>
      </w:pPr>
      <w:r>
        <w:t xml:space="preserve">Pracovní skupina se zatím sešla na čtyřech jednáních: v září a prosinci 2024 a v březnu a květnu 2025. Na těchto jednáních skupina vypracovala osnovu a strukturu výše zmíněného metodického doporučení. Jednotlivým členům skupiny byly také svěřeny úkoly ohledně vypracování individuálních částí metodiky v závislosti na jejich </w:t>
      </w:r>
      <w:r w:rsidR="00465E52">
        <w:t>oblasti odbornosti.</w:t>
      </w:r>
    </w:p>
    <w:p w14:paraId="49E5D806" w14:textId="10980224" w:rsidR="00465E52" w:rsidRDefault="00465E52" w:rsidP="00F72222">
      <w:pPr>
        <w:pStyle w:val="Textodstavce"/>
      </w:pPr>
      <w:r>
        <w:t>Metodika se bude vztahovat na společný zásah zdravotníků a policistů jak v zdravotnických zařízeních, tak i mimo nich. Metodika bude popisovat konkrétní postupy a pravidla pro tuto koordinaci, co se týče zásahů v:</w:t>
      </w:r>
    </w:p>
    <w:p w14:paraId="0F8C361D" w14:textId="536AAA2A" w:rsidR="00465E52" w:rsidRDefault="00465E52" w:rsidP="00465E52">
      <w:pPr>
        <w:pStyle w:val="Textodstavce"/>
        <w:numPr>
          <w:ilvl w:val="0"/>
          <w:numId w:val="2"/>
        </w:numPr>
        <w:rPr>
          <w:rFonts w:cstheme="minorHAnsi"/>
        </w:rPr>
      </w:pPr>
      <w:r>
        <w:rPr>
          <w:rFonts w:cstheme="minorHAnsi"/>
        </w:rPr>
        <w:t>ambulantních zdravotnických zařízeních;</w:t>
      </w:r>
    </w:p>
    <w:p w14:paraId="5F931B6C" w14:textId="66104177" w:rsidR="00465E52" w:rsidRDefault="00465E52" w:rsidP="00465E52">
      <w:pPr>
        <w:pStyle w:val="Textodstavce"/>
        <w:numPr>
          <w:ilvl w:val="0"/>
          <w:numId w:val="2"/>
        </w:numPr>
        <w:rPr>
          <w:rFonts w:cstheme="minorHAnsi"/>
        </w:rPr>
      </w:pPr>
      <w:r>
        <w:rPr>
          <w:rFonts w:cstheme="minorHAnsi"/>
        </w:rPr>
        <w:t>lůžkových zdravotnických zařízeních včetně urgentního příjmu;</w:t>
      </w:r>
    </w:p>
    <w:p w14:paraId="2886F6D4" w14:textId="05E051CB" w:rsidR="00465E52" w:rsidRDefault="00465E52" w:rsidP="00465E52">
      <w:pPr>
        <w:pStyle w:val="Textodstavce"/>
        <w:numPr>
          <w:ilvl w:val="0"/>
          <w:numId w:val="2"/>
        </w:numPr>
        <w:rPr>
          <w:rFonts w:cstheme="minorHAnsi"/>
        </w:rPr>
      </w:pPr>
      <w:r>
        <w:rPr>
          <w:rFonts w:cstheme="minorHAnsi"/>
        </w:rPr>
        <w:t>vlastním sociálním prostředí pacienta; a</w:t>
      </w:r>
    </w:p>
    <w:p w14:paraId="07EC6D12" w14:textId="3B81A4FA" w:rsidR="00F72222" w:rsidRPr="00465E52" w:rsidRDefault="00465E52" w:rsidP="00465E52">
      <w:pPr>
        <w:pStyle w:val="Textodstavce"/>
        <w:numPr>
          <w:ilvl w:val="0"/>
          <w:numId w:val="2"/>
        </w:numPr>
        <w:rPr>
          <w:rFonts w:cstheme="minorHAnsi"/>
        </w:rPr>
      </w:pPr>
      <w:r>
        <w:rPr>
          <w:rFonts w:cstheme="minorHAnsi"/>
        </w:rPr>
        <w:t>v terénu; při posledních dvou zmíněných místech metodika dále rozlišuje mezi situací, kdy zdravotnická záchranná služba volá policii a naopak.</w:t>
      </w:r>
    </w:p>
    <w:p w14:paraId="29F7B121" w14:textId="6C44AC25" w:rsidR="00465E52" w:rsidRDefault="00465E52" w:rsidP="00F72222">
      <w:pPr>
        <w:pStyle w:val="Textodstavce"/>
        <w:rPr>
          <w:rFonts w:cstheme="minorHAnsi"/>
        </w:rPr>
      </w:pPr>
      <w:r>
        <w:rPr>
          <w:rFonts w:cstheme="minorHAnsi"/>
        </w:rPr>
        <w:t>Nejproblematičtějším aspektem nové metodiky se jeví být zakotvení postupu pro výměnu potřebných informací mezi zdravotníky a policisty za respektování zákonné povinnosti mlčenlivosti zdravotníků.</w:t>
      </w:r>
    </w:p>
    <w:p w14:paraId="732EC2BB" w14:textId="34F484BB" w:rsidR="00465E52" w:rsidRDefault="00465E52" w:rsidP="00465E52">
      <w:pPr>
        <w:pStyle w:val="Textodstavce"/>
        <w:rPr>
          <w:rFonts w:cstheme="minorHAnsi"/>
        </w:rPr>
      </w:pPr>
      <w:r>
        <w:rPr>
          <w:rFonts w:cstheme="minorHAnsi"/>
        </w:rPr>
        <w:t>Na dalším jednání pracovní skupiny, které je naplánováno na polovinu září 2025, by měli členové skupiny diskutovat o finálním znění metodiky.</w:t>
      </w:r>
    </w:p>
    <w:p w14:paraId="5131B945" w14:textId="77777777" w:rsidR="00D458A5" w:rsidRPr="00A31CDB" w:rsidRDefault="00D458A5" w:rsidP="00D458A5">
      <w:pPr>
        <w:pStyle w:val="Nadpispodsti"/>
        <w:spacing w:before="360"/>
        <w:rPr>
          <w:rFonts w:cs="Times New Roman"/>
          <w:i/>
          <w:iCs/>
          <w:u w:val="none"/>
        </w:rPr>
      </w:pPr>
      <w:r w:rsidRPr="00A31CDB">
        <w:rPr>
          <w:i/>
          <w:iCs/>
          <w:u w:val="none"/>
        </w:rPr>
        <w:t>F. opatření týkající se účinného vyšetřování</w:t>
      </w:r>
    </w:p>
    <w:p w14:paraId="7B9D6AD9" w14:textId="77777777" w:rsidR="00D458A5" w:rsidRPr="00A31CDB" w:rsidRDefault="00D458A5" w:rsidP="00D458A5">
      <w:pPr>
        <w:pStyle w:val="Textodstavce"/>
      </w:pPr>
      <w:r w:rsidRPr="00A31CDB">
        <w:t>Pokud jde o procesní aspekt článku 2 Úmluvy, Soud upozornil na tři nedostatky, které mohly narušit důkladnost a spolehlivost vyšetřování.</w:t>
      </w:r>
    </w:p>
    <w:p w14:paraId="6118FE6A" w14:textId="331FF1D8" w:rsidR="00D458A5" w:rsidRPr="00A31CDB" w:rsidRDefault="00D458A5" w:rsidP="00D458A5">
      <w:pPr>
        <w:pStyle w:val="Textodstavce"/>
      </w:pPr>
      <w:r w:rsidRPr="00A31CDB">
        <w:rPr>
          <w:i/>
          <w:iCs/>
        </w:rPr>
        <w:t xml:space="preserve">Zaprvé, </w:t>
      </w:r>
      <w:r w:rsidRPr="00A31CDB">
        <w:t>GI</w:t>
      </w:r>
      <w:r w:rsidR="00D35C5E">
        <w:t>BS</w:t>
      </w:r>
      <w:r w:rsidRPr="00A31CDB">
        <w:t xml:space="preserve"> </w:t>
      </w:r>
      <w:r w:rsidRPr="00A31CDB">
        <w:rPr>
          <w:rFonts w:cstheme="minorHAnsi"/>
          <w:color w:val="000000"/>
        </w:rPr>
        <w:t>okamžitě neizoloval a nevyslechl policisty, kteří se na incidentu podíleli, čímž nezabránil možné</w:t>
      </w:r>
      <w:r w:rsidR="00D35C5E">
        <w:rPr>
          <w:rFonts w:cstheme="minorHAnsi"/>
          <w:color w:val="000000"/>
        </w:rPr>
        <w:t>mu ovlivnění jejich výpovědí</w:t>
      </w:r>
      <w:r w:rsidRPr="00A31CDB">
        <w:t>; policisté byli ve skutečnosti vyslechnuti až po dvaceti dnech, resp. jednom měsíci (viz § 123 rozsudku).</w:t>
      </w:r>
    </w:p>
    <w:p w14:paraId="16E524D1" w14:textId="1E29FC4B" w:rsidR="00D458A5" w:rsidRPr="00A31CDB" w:rsidRDefault="00465E52" w:rsidP="00D458A5">
      <w:pPr>
        <w:pStyle w:val="Textodstavce"/>
        <w:rPr>
          <w:rFonts w:cstheme="minorHAnsi"/>
          <w:color w:val="000000"/>
        </w:rPr>
      </w:pPr>
      <w:r>
        <w:rPr>
          <w:i/>
          <w:iCs/>
        </w:rPr>
        <w:t>Za</w:t>
      </w:r>
      <w:r w:rsidR="00D458A5" w:rsidRPr="00A31CDB">
        <w:rPr>
          <w:i/>
          <w:iCs/>
        </w:rPr>
        <w:t xml:space="preserve">druhé, </w:t>
      </w:r>
      <w:r w:rsidR="00D458A5" w:rsidRPr="00A31CDB">
        <w:rPr>
          <w:rFonts w:cstheme="minorHAnsi"/>
          <w:color w:val="000000"/>
        </w:rPr>
        <w:t>dotyčné rozhovory byly vedeny spíše ne</w:t>
      </w:r>
      <w:r w:rsidR="004D7D16">
        <w:rPr>
          <w:rFonts w:cstheme="minorHAnsi"/>
          <w:color w:val="000000"/>
        </w:rPr>
        <w:t>výslechovým</w:t>
      </w:r>
      <w:r w:rsidR="00D458A5" w:rsidRPr="00A31CDB">
        <w:rPr>
          <w:rFonts w:cstheme="minorHAnsi"/>
          <w:color w:val="000000"/>
        </w:rPr>
        <w:t xml:space="preserve"> způsobem, policisté byli pouze požádáni, aby popsali události, a bylo jim položeno jen několik málo otázek, které se netýkaly donucovacích prostředků použitých během zásahu (</w:t>
      </w:r>
      <w:r>
        <w:rPr>
          <w:rFonts w:cstheme="minorHAnsi"/>
          <w:color w:val="000000"/>
        </w:rPr>
        <w:t>tamtéž)</w:t>
      </w:r>
      <w:r w:rsidR="00D458A5" w:rsidRPr="00A31CDB">
        <w:rPr>
          <w:rFonts w:cstheme="minorHAnsi"/>
          <w:color w:val="000000"/>
        </w:rPr>
        <w:t>.</w:t>
      </w:r>
    </w:p>
    <w:p w14:paraId="6FC22683" w14:textId="20EAC70F" w:rsidR="00D458A5" w:rsidRPr="00A31CDB" w:rsidRDefault="00D458A5" w:rsidP="00D458A5">
      <w:pPr>
        <w:pStyle w:val="Textodstavce"/>
        <w:rPr>
          <w:rFonts w:cs="Times New Roman"/>
        </w:rPr>
      </w:pPr>
      <w:r w:rsidRPr="00A31CDB">
        <w:rPr>
          <w:rFonts w:cstheme="minorHAnsi"/>
          <w:color w:val="000000"/>
        </w:rPr>
        <w:t xml:space="preserve">A </w:t>
      </w:r>
      <w:r w:rsidR="00465E52">
        <w:rPr>
          <w:rFonts w:cstheme="minorHAnsi"/>
          <w:i/>
          <w:iCs/>
          <w:color w:val="000000"/>
        </w:rPr>
        <w:t>za</w:t>
      </w:r>
      <w:r w:rsidRPr="00A31CDB">
        <w:rPr>
          <w:rFonts w:cstheme="minorHAnsi"/>
          <w:i/>
          <w:iCs/>
          <w:color w:val="000000"/>
        </w:rPr>
        <w:t xml:space="preserve">třetí, </w:t>
      </w:r>
      <w:r w:rsidRPr="00A31CDB">
        <w:t>rozsah vyšetřování byl poněkud zúžený; vyšetřování se zejména nezaměřilo na informace vyměňované mezi policisty a zdravotnickým personálem a znalci nebyli požádáni, aby se vyjádřili k případné interakci mezi léky podávanými pacientovi (viz § 124 rozsudku).</w:t>
      </w:r>
    </w:p>
    <w:p w14:paraId="0F3FED9D" w14:textId="372217B0" w:rsidR="00A609FE" w:rsidRDefault="00D458A5" w:rsidP="00D458A5">
      <w:pPr>
        <w:pStyle w:val="Textodstavce"/>
        <w:rPr>
          <w:rStyle w:val="cf01"/>
          <w:rFonts w:asciiTheme="minorHAnsi" w:hAnsiTheme="minorHAnsi" w:cstheme="minorHAnsi"/>
          <w:sz w:val="24"/>
          <w:szCs w:val="24"/>
        </w:rPr>
      </w:pPr>
      <w:r w:rsidRPr="00A609FE">
        <w:rPr>
          <w:i/>
          <w:iCs/>
        </w:rPr>
        <w:t xml:space="preserve">První </w:t>
      </w:r>
      <w:r w:rsidRPr="00A31CDB">
        <w:t>problém</w:t>
      </w:r>
      <w:r w:rsidRPr="00D35C5E">
        <w:rPr>
          <w:rFonts w:cstheme="minorHAnsi"/>
          <w:szCs w:val="24"/>
        </w:rPr>
        <w:t>, prevence možné</w:t>
      </w:r>
      <w:r w:rsidR="00D35C5E">
        <w:rPr>
          <w:rFonts w:cstheme="minorHAnsi"/>
          <w:szCs w:val="24"/>
        </w:rPr>
        <w:t xml:space="preserve"> koluze</w:t>
      </w:r>
      <w:r w:rsidRPr="00D35C5E">
        <w:rPr>
          <w:rFonts w:cstheme="minorHAnsi"/>
          <w:szCs w:val="24"/>
        </w:rPr>
        <w:t>, byl projednán na schůzce dne 1. srpna 2024, kterou svolal</w:t>
      </w:r>
      <w:r w:rsidR="00465E52">
        <w:rPr>
          <w:rFonts w:cstheme="minorHAnsi"/>
          <w:szCs w:val="24"/>
        </w:rPr>
        <w:t>a</w:t>
      </w:r>
      <w:r w:rsidRPr="00D35C5E">
        <w:rPr>
          <w:rFonts w:cstheme="minorHAnsi"/>
          <w:szCs w:val="24"/>
        </w:rPr>
        <w:t xml:space="preserve"> GI</w:t>
      </w:r>
      <w:r w:rsidR="00D35C5E" w:rsidRPr="00D35C5E">
        <w:rPr>
          <w:rFonts w:cstheme="minorHAnsi"/>
          <w:szCs w:val="24"/>
        </w:rPr>
        <w:t>B</w:t>
      </w:r>
      <w:r w:rsidRPr="00D35C5E">
        <w:rPr>
          <w:rFonts w:cstheme="minorHAnsi"/>
          <w:szCs w:val="24"/>
        </w:rPr>
        <w:t>S za účasti zástupců všech bezpečnostních sborů spadajících do je</w:t>
      </w:r>
      <w:r w:rsidR="00A609FE">
        <w:rPr>
          <w:rFonts w:cstheme="minorHAnsi"/>
          <w:szCs w:val="24"/>
        </w:rPr>
        <w:t>jí</w:t>
      </w:r>
      <w:r w:rsidRPr="00D35C5E">
        <w:rPr>
          <w:rFonts w:cstheme="minorHAnsi"/>
          <w:szCs w:val="24"/>
        </w:rPr>
        <w:t xml:space="preserve"> vyšetřovací pravomoci (Policie ČR, Vězeňská služba ČR a Celní správa ČR) spolu s</w:t>
      </w:r>
      <w:r w:rsidR="00D35C5E" w:rsidRPr="00D35C5E">
        <w:rPr>
          <w:rFonts w:cstheme="minorHAnsi"/>
          <w:szCs w:val="24"/>
        </w:rPr>
        <w:t> </w:t>
      </w:r>
      <w:r w:rsidR="00D35C5E">
        <w:rPr>
          <w:rFonts w:cstheme="minorHAnsi"/>
          <w:szCs w:val="24"/>
        </w:rPr>
        <w:t>K</w:t>
      </w:r>
      <w:r w:rsidR="00D35C5E" w:rsidRPr="00D35C5E">
        <w:rPr>
          <w:rFonts w:cstheme="minorHAnsi"/>
          <w:szCs w:val="24"/>
        </w:rPr>
        <w:t>anceláří vládního zmocněnce</w:t>
      </w:r>
      <w:r w:rsidRPr="00D35C5E">
        <w:rPr>
          <w:rFonts w:cstheme="minorHAnsi"/>
          <w:szCs w:val="24"/>
        </w:rPr>
        <w:t xml:space="preserve"> a Nejvyšším státním zastupitelstvím. </w:t>
      </w:r>
      <w:r w:rsidRPr="00D35C5E">
        <w:rPr>
          <w:rStyle w:val="cf01"/>
          <w:rFonts w:asciiTheme="minorHAnsi" w:hAnsiTheme="minorHAnsi" w:cstheme="minorHAnsi"/>
          <w:sz w:val="24"/>
          <w:szCs w:val="24"/>
        </w:rPr>
        <w:t>Výsledkem tohoto jednání bylo, že GI</w:t>
      </w:r>
      <w:r w:rsidR="00D35C5E">
        <w:rPr>
          <w:rStyle w:val="cf01"/>
          <w:rFonts w:asciiTheme="minorHAnsi" w:hAnsiTheme="minorHAnsi" w:cstheme="minorHAnsi"/>
          <w:sz w:val="24"/>
          <w:szCs w:val="24"/>
        </w:rPr>
        <w:t>B</w:t>
      </w:r>
      <w:r w:rsidRPr="00D35C5E">
        <w:rPr>
          <w:rStyle w:val="cf01"/>
          <w:rFonts w:asciiTheme="minorHAnsi" w:hAnsiTheme="minorHAnsi" w:cstheme="minorHAnsi"/>
          <w:sz w:val="24"/>
          <w:szCs w:val="24"/>
        </w:rPr>
        <w:t>S vydá metodické doporučení pro Policii ČR; v případě potřeby a na základě diskuse s jej</w:t>
      </w:r>
      <w:r w:rsidR="00D35C5E">
        <w:rPr>
          <w:rStyle w:val="cf01"/>
          <w:rFonts w:asciiTheme="minorHAnsi" w:hAnsiTheme="minorHAnsi" w:cstheme="minorHAnsi"/>
          <w:sz w:val="24"/>
          <w:szCs w:val="24"/>
        </w:rPr>
        <w:t>ich</w:t>
      </w:r>
      <w:r w:rsidRPr="00D35C5E">
        <w:rPr>
          <w:rStyle w:val="cf01"/>
          <w:rFonts w:asciiTheme="minorHAnsi" w:hAnsiTheme="minorHAnsi" w:cstheme="minorHAnsi"/>
          <w:sz w:val="24"/>
          <w:szCs w:val="24"/>
        </w:rPr>
        <w:t xml:space="preserve"> vedením může GI</w:t>
      </w:r>
      <w:r w:rsidR="00D35C5E">
        <w:rPr>
          <w:rStyle w:val="cf01"/>
          <w:rFonts w:asciiTheme="minorHAnsi" w:hAnsiTheme="minorHAnsi" w:cstheme="minorHAnsi"/>
          <w:sz w:val="24"/>
          <w:szCs w:val="24"/>
        </w:rPr>
        <w:t>BS</w:t>
      </w:r>
      <w:r w:rsidRPr="00D35C5E">
        <w:rPr>
          <w:rStyle w:val="cf01"/>
          <w:rFonts w:asciiTheme="minorHAnsi" w:hAnsiTheme="minorHAnsi" w:cstheme="minorHAnsi"/>
          <w:sz w:val="24"/>
          <w:szCs w:val="24"/>
        </w:rPr>
        <w:t xml:space="preserve"> vydat samostatné metodické </w:t>
      </w:r>
      <w:r w:rsidR="004D7D16">
        <w:rPr>
          <w:rStyle w:val="cf01"/>
          <w:rFonts w:asciiTheme="minorHAnsi" w:hAnsiTheme="minorHAnsi" w:cstheme="minorHAnsi"/>
          <w:sz w:val="24"/>
          <w:szCs w:val="24"/>
        </w:rPr>
        <w:t>pokyny</w:t>
      </w:r>
      <w:r w:rsidRPr="00D35C5E">
        <w:rPr>
          <w:rStyle w:val="cf01"/>
          <w:rFonts w:asciiTheme="minorHAnsi" w:hAnsiTheme="minorHAnsi" w:cstheme="minorHAnsi"/>
          <w:sz w:val="24"/>
          <w:szCs w:val="24"/>
        </w:rPr>
        <w:t xml:space="preserve"> i pro další dva bezpečnostní sbory. V metodickém </w:t>
      </w:r>
      <w:r w:rsidR="004D7D16">
        <w:rPr>
          <w:rStyle w:val="cf01"/>
          <w:rFonts w:asciiTheme="minorHAnsi" w:hAnsiTheme="minorHAnsi" w:cstheme="minorHAnsi"/>
          <w:sz w:val="24"/>
          <w:szCs w:val="24"/>
        </w:rPr>
        <w:t>pokynu</w:t>
      </w:r>
      <w:r w:rsidRPr="00D35C5E">
        <w:rPr>
          <w:rStyle w:val="cf01"/>
          <w:rFonts w:asciiTheme="minorHAnsi" w:hAnsiTheme="minorHAnsi" w:cstheme="minorHAnsi"/>
          <w:sz w:val="24"/>
          <w:szCs w:val="24"/>
        </w:rPr>
        <w:t xml:space="preserve"> pro Policii ČR </w:t>
      </w:r>
      <w:r w:rsidR="00A609FE">
        <w:rPr>
          <w:rStyle w:val="cf01"/>
          <w:rFonts w:asciiTheme="minorHAnsi" w:hAnsiTheme="minorHAnsi" w:cstheme="minorHAnsi"/>
          <w:sz w:val="24"/>
          <w:szCs w:val="24"/>
        </w:rPr>
        <w:t>měly být</w:t>
      </w:r>
      <w:r w:rsidRPr="00D35C5E">
        <w:rPr>
          <w:rStyle w:val="cf01"/>
          <w:rFonts w:asciiTheme="minorHAnsi" w:hAnsiTheme="minorHAnsi" w:cstheme="minorHAnsi"/>
          <w:sz w:val="24"/>
          <w:szCs w:val="24"/>
        </w:rPr>
        <w:t xml:space="preserve"> uveden</w:t>
      </w:r>
      <w:r w:rsidR="00A609FE">
        <w:rPr>
          <w:rStyle w:val="cf01"/>
          <w:rFonts w:asciiTheme="minorHAnsi" w:hAnsiTheme="minorHAnsi" w:cstheme="minorHAnsi"/>
          <w:sz w:val="24"/>
          <w:szCs w:val="24"/>
        </w:rPr>
        <w:t>y</w:t>
      </w:r>
      <w:r w:rsidRPr="00D35C5E">
        <w:rPr>
          <w:rStyle w:val="cf01"/>
          <w:rFonts w:asciiTheme="minorHAnsi" w:hAnsiTheme="minorHAnsi" w:cstheme="minorHAnsi"/>
          <w:sz w:val="24"/>
          <w:szCs w:val="24"/>
        </w:rPr>
        <w:t xml:space="preserve"> pravidla a postupy, jejichž cílem </w:t>
      </w:r>
      <w:r w:rsidR="00A609FE">
        <w:rPr>
          <w:rStyle w:val="cf01"/>
          <w:rFonts w:asciiTheme="minorHAnsi" w:hAnsiTheme="minorHAnsi" w:cstheme="minorHAnsi"/>
          <w:sz w:val="24"/>
          <w:szCs w:val="24"/>
        </w:rPr>
        <w:t>by bylo</w:t>
      </w:r>
      <w:r w:rsidR="004D7D16" w:rsidRPr="00D35C5E">
        <w:rPr>
          <w:rStyle w:val="cf01"/>
          <w:rFonts w:asciiTheme="minorHAnsi" w:hAnsiTheme="minorHAnsi" w:cstheme="minorHAnsi"/>
          <w:sz w:val="24"/>
          <w:szCs w:val="24"/>
        </w:rPr>
        <w:t xml:space="preserve"> – v</w:t>
      </w:r>
      <w:r w:rsidRPr="00D35C5E">
        <w:rPr>
          <w:rStyle w:val="cf01"/>
          <w:rFonts w:asciiTheme="minorHAnsi" w:hAnsiTheme="minorHAnsi" w:cstheme="minorHAnsi"/>
          <w:sz w:val="24"/>
          <w:szCs w:val="24"/>
        </w:rPr>
        <w:t xml:space="preserve"> maximální možné </w:t>
      </w:r>
      <w:r w:rsidR="00C42A92" w:rsidRPr="00D35C5E">
        <w:rPr>
          <w:rStyle w:val="cf01"/>
          <w:rFonts w:asciiTheme="minorHAnsi" w:hAnsiTheme="minorHAnsi" w:cstheme="minorHAnsi"/>
          <w:sz w:val="24"/>
          <w:szCs w:val="24"/>
        </w:rPr>
        <w:t>míře – eliminovat</w:t>
      </w:r>
      <w:r w:rsidRPr="00D35C5E">
        <w:rPr>
          <w:rStyle w:val="cf01"/>
          <w:rFonts w:asciiTheme="minorHAnsi" w:hAnsiTheme="minorHAnsi" w:cstheme="minorHAnsi"/>
          <w:sz w:val="24"/>
          <w:szCs w:val="24"/>
        </w:rPr>
        <w:t xml:space="preserve"> riziko možné</w:t>
      </w:r>
      <w:r w:rsidR="00D35C5E">
        <w:rPr>
          <w:rStyle w:val="cf01"/>
          <w:rFonts w:asciiTheme="minorHAnsi" w:hAnsiTheme="minorHAnsi" w:cstheme="minorHAnsi"/>
          <w:sz w:val="24"/>
          <w:szCs w:val="24"/>
        </w:rPr>
        <w:t xml:space="preserve"> koluze</w:t>
      </w:r>
      <w:r w:rsidRPr="00D35C5E">
        <w:rPr>
          <w:rStyle w:val="cf01"/>
          <w:rFonts w:asciiTheme="minorHAnsi" w:hAnsiTheme="minorHAnsi" w:cstheme="minorHAnsi"/>
          <w:sz w:val="24"/>
          <w:szCs w:val="24"/>
        </w:rPr>
        <w:t xml:space="preserve"> při vyšetřování použití síly s následkem smrti nebo těžkého zranění</w:t>
      </w:r>
      <w:r w:rsidR="00A609FE">
        <w:rPr>
          <w:rStyle w:val="cf01"/>
          <w:rFonts w:asciiTheme="minorHAnsi" w:hAnsiTheme="minorHAnsi" w:cstheme="minorHAnsi"/>
          <w:sz w:val="24"/>
          <w:szCs w:val="24"/>
        </w:rPr>
        <w:t>.</w:t>
      </w:r>
    </w:p>
    <w:p w14:paraId="5542C773" w14:textId="0A313326" w:rsidR="00A609FE" w:rsidRDefault="00A609FE" w:rsidP="00A609FE">
      <w:pPr>
        <w:pStyle w:val="Textodstavce"/>
        <w:rPr>
          <w:rFonts w:cstheme="minorHAnsi"/>
          <w:szCs w:val="24"/>
        </w:rPr>
      </w:pPr>
      <w:r>
        <w:rPr>
          <w:rStyle w:val="cf01"/>
          <w:rFonts w:asciiTheme="minorHAnsi" w:hAnsiTheme="minorHAnsi" w:cstheme="minorHAnsi"/>
          <w:sz w:val="24"/>
          <w:szCs w:val="24"/>
        </w:rPr>
        <w:t xml:space="preserve">V říjnu 2024 </w:t>
      </w:r>
      <w:r w:rsidRPr="00A609FE">
        <w:rPr>
          <w:rFonts w:cstheme="minorHAnsi"/>
          <w:szCs w:val="24"/>
        </w:rPr>
        <w:t>GIBS vydala vlastní interní metodiku</w:t>
      </w:r>
      <w:r>
        <w:rPr>
          <w:rFonts w:cstheme="minorHAnsi"/>
          <w:szCs w:val="24"/>
        </w:rPr>
        <w:t xml:space="preserve">, která se vztahuje na situace, kdy GIBS vyšetřuje policejní zásah zahrnující použití síly s následkem smrti nebo těžkého zranění. Jejím účelem je zakotvit pravidla pro eliminaci rizika potenciální koluze mezi zasahujícími policisty. Tato metodika byla vydána </w:t>
      </w:r>
      <w:r w:rsidRPr="00A609FE">
        <w:rPr>
          <w:rFonts w:cstheme="minorHAnsi"/>
          <w:szCs w:val="24"/>
        </w:rPr>
        <w:t>v podobě metodického návodu náměstka ředitele pro trestní řízení</w:t>
      </w:r>
      <w:r>
        <w:rPr>
          <w:rFonts w:cstheme="minorHAnsi"/>
          <w:szCs w:val="24"/>
        </w:rPr>
        <w:t xml:space="preserve"> a </w:t>
      </w:r>
      <w:r w:rsidR="00F73F23">
        <w:rPr>
          <w:rFonts w:cstheme="minorHAnsi"/>
          <w:szCs w:val="24"/>
        </w:rPr>
        <w:t>popisu</w:t>
      </w:r>
      <w:r>
        <w:rPr>
          <w:rFonts w:cstheme="minorHAnsi"/>
          <w:szCs w:val="24"/>
        </w:rPr>
        <w:t xml:space="preserve">je mj. postupy pro příjem </w:t>
      </w:r>
      <w:r w:rsidRPr="00A609FE">
        <w:rPr>
          <w:rFonts w:cstheme="minorHAnsi"/>
          <w:szCs w:val="24"/>
        </w:rPr>
        <w:t xml:space="preserve">oznámení či podnětů </w:t>
      </w:r>
      <w:r>
        <w:rPr>
          <w:rFonts w:cstheme="minorHAnsi"/>
          <w:szCs w:val="24"/>
        </w:rPr>
        <w:t xml:space="preserve">ohledně výše zmíněného policejního zásahu, předávání těchto informací mezi </w:t>
      </w:r>
      <w:r w:rsidRPr="00A609FE">
        <w:rPr>
          <w:rFonts w:cstheme="minorHAnsi"/>
          <w:szCs w:val="24"/>
        </w:rPr>
        <w:t>operačním střediskem</w:t>
      </w:r>
      <w:r>
        <w:rPr>
          <w:rFonts w:cstheme="minorHAnsi"/>
          <w:szCs w:val="24"/>
        </w:rPr>
        <w:t xml:space="preserve"> GISF a jejími příslušníky vyslan</w:t>
      </w:r>
      <w:r w:rsidR="00F73F23">
        <w:rPr>
          <w:rFonts w:cstheme="minorHAnsi"/>
          <w:szCs w:val="24"/>
        </w:rPr>
        <w:t>ý</w:t>
      </w:r>
      <w:r>
        <w:rPr>
          <w:rFonts w:cstheme="minorHAnsi"/>
          <w:szCs w:val="24"/>
        </w:rPr>
        <w:t xml:space="preserve">mi </w:t>
      </w:r>
      <w:r w:rsidR="00F73F23">
        <w:rPr>
          <w:rFonts w:cstheme="minorHAnsi"/>
          <w:szCs w:val="24"/>
        </w:rPr>
        <w:t>vyšetřit zásah, jakož i opatření, které je potřeba přijmout vůči zasahujícím policistům na místě zásahu za účelem prevence koluze, jejich výslech ohledně průběhu zásahu atd.</w:t>
      </w:r>
    </w:p>
    <w:p w14:paraId="1D51B6FE" w14:textId="04E404B8" w:rsidR="00F73F23" w:rsidRDefault="00F73F23" w:rsidP="00F73F23">
      <w:pPr>
        <w:pStyle w:val="Textodstavce"/>
        <w:rPr>
          <w:rFonts w:cstheme="minorHAnsi"/>
          <w:szCs w:val="24"/>
        </w:rPr>
      </w:pPr>
      <w:r>
        <w:rPr>
          <w:rFonts w:cstheme="minorHAnsi"/>
          <w:szCs w:val="24"/>
        </w:rPr>
        <w:t xml:space="preserve">Zároveň GIBS v listopadu 2024, v návaznosti na výše zmíněné jednání dne 1. srpna 2024, </w:t>
      </w:r>
      <w:r w:rsidR="00A609FE" w:rsidRPr="00A609FE">
        <w:rPr>
          <w:rFonts w:cstheme="minorHAnsi"/>
          <w:szCs w:val="24"/>
        </w:rPr>
        <w:t>zaslala na Policii ČR přehled doporučených postup</w:t>
      </w:r>
      <w:r>
        <w:rPr>
          <w:rFonts w:cstheme="minorHAnsi"/>
          <w:szCs w:val="24"/>
        </w:rPr>
        <w:t>ů, které by měla za účelem prevence koluze přijmout sama policie na místě zásahu ještě před příjezdem vyšetřovatelů GIBS. Zde GIBS zejména navrhla, aby po policejním zásahu, kde došlo k použití síly s následkem smrti nebo těžkého zranění, velitel policejního zásahu bezodkladně nařídil ostatním policistům zúčastněným na zásahu, aby zůstali na místě a počkali na příjezd vyšetřovatelů GIBS, a zároveň aby je oddělil a nařídil jim nekomunikovat spolu o zásahu.</w:t>
      </w:r>
    </w:p>
    <w:p w14:paraId="39F2A9F6" w14:textId="111AA3BF" w:rsidR="00F73F23" w:rsidRDefault="00A609FE" w:rsidP="00F73F23">
      <w:pPr>
        <w:pStyle w:val="Textodstavce"/>
        <w:rPr>
          <w:rFonts w:cstheme="minorHAnsi"/>
          <w:szCs w:val="24"/>
        </w:rPr>
      </w:pPr>
      <w:r w:rsidRPr="00A609FE">
        <w:rPr>
          <w:rFonts w:cstheme="minorHAnsi"/>
          <w:szCs w:val="24"/>
        </w:rPr>
        <w:t>Tento materiál vedení Policie ČR interně prodiskutovalo v lednu 202</w:t>
      </w:r>
      <w:r w:rsidR="00F73F23">
        <w:rPr>
          <w:rFonts w:cstheme="minorHAnsi"/>
          <w:szCs w:val="24"/>
        </w:rPr>
        <w:t>5 a byl následně i předmětem několika jednání za účasti Policie ČR, K</w:t>
      </w:r>
      <w:r w:rsidR="006A3536">
        <w:rPr>
          <w:rFonts w:cstheme="minorHAnsi"/>
          <w:szCs w:val="24"/>
        </w:rPr>
        <w:t>anceláře vládního zmocněnce</w:t>
      </w:r>
      <w:r w:rsidR="00F73F23">
        <w:rPr>
          <w:rFonts w:cstheme="minorHAnsi"/>
          <w:szCs w:val="24"/>
        </w:rPr>
        <w:t>, GIBS a Nejvyššího státního zastupitelství. GIBS informovala, že navržená opatření jsou v policejní praxi již ve velké míře dodržována.</w:t>
      </w:r>
      <w:r w:rsidR="007F3584">
        <w:rPr>
          <w:rFonts w:cstheme="minorHAnsi"/>
          <w:szCs w:val="24"/>
        </w:rPr>
        <w:t xml:space="preserve"> Policejní prezidium nicméně vysvětlilo, že navzdory této skutečnosti by mohlo zakotvení uvedených opatření do oficiálního pokynu policejního prezidenta mít negativní psychologický dopad na dotčené policisty, zvýšit nejistotu policistů během zásahů, snížit zájem osob zaměstnat se v policejním sboru či v této službě setrvat, a tím značně oslabit schopnost policie zajistit veřejný pořádek a bezpečnost. Zároveň Policejní prezidium vyjádřilo pochopení pro potřebu zajistit spolehlivé důkazy o průběhu policejních zásahů pro účely vyšetřování ze strany GIBS, a to zejména v případech, kdy došlo k úmrtí či těžkému zranění.</w:t>
      </w:r>
    </w:p>
    <w:p w14:paraId="68A6B4B4" w14:textId="67D10815" w:rsidR="007F3584" w:rsidRDefault="007F3584" w:rsidP="00F73F23">
      <w:pPr>
        <w:pStyle w:val="Textodstavce"/>
        <w:rPr>
          <w:rFonts w:cstheme="minorHAnsi"/>
          <w:szCs w:val="24"/>
        </w:rPr>
      </w:pPr>
      <w:r>
        <w:rPr>
          <w:rFonts w:cstheme="minorHAnsi"/>
          <w:szCs w:val="24"/>
        </w:rPr>
        <w:t xml:space="preserve">Proto se Policejní prezidium rozhodlo položit důraz na rozšířené používání </w:t>
      </w:r>
      <w:r w:rsidRPr="007F3584">
        <w:rPr>
          <w:rFonts w:cstheme="minorHAnsi"/>
          <w:b/>
          <w:bCs/>
          <w:szCs w:val="24"/>
        </w:rPr>
        <w:t>kamer</w:t>
      </w:r>
      <w:r>
        <w:rPr>
          <w:rFonts w:cstheme="minorHAnsi"/>
          <w:szCs w:val="24"/>
        </w:rPr>
        <w:t xml:space="preserve"> v policejních jednotkách během zásahů, a to za účelem dokumentování průběhu událostí. Videonahrávka policejního zásahu představuje objektivní důkaz, na rozdíl od výpovědí zasahujících policistů, které jsou ze své podstaty vždy subjektivní. Znamená to, že pokud budou během zásahů důsledně používány kamery, výpovědi zasahujících policistů budou mít toliko druhotní důkazní hodnotu, a otázka možné koluze by neměla ovlivnit účinnost vyšetřování. Vláda </w:t>
      </w:r>
      <w:r w:rsidR="00960C9E">
        <w:rPr>
          <w:rFonts w:cstheme="minorHAnsi"/>
          <w:szCs w:val="24"/>
        </w:rPr>
        <w:t>podotýká</w:t>
      </w:r>
      <w:r>
        <w:rPr>
          <w:rFonts w:cstheme="minorHAnsi"/>
          <w:szCs w:val="24"/>
        </w:rPr>
        <w:t xml:space="preserve">, že podobný přístup zaujal ve své nedávné judikatuře i Soud (srov. </w:t>
      </w:r>
      <w:r w:rsidRPr="007F3584">
        <w:rPr>
          <w:rFonts w:cstheme="minorHAnsi"/>
          <w:i/>
          <w:iCs/>
          <w:szCs w:val="24"/>
        </w:rPr>
        <w:t>Koomen proti Nizozemsku</w:t>
      </w:r>
      <w:r>
        <w:rPr>
          <w:rFonts w:cstheme="minorHAnsi"/>
          <w:szCs w:val="24"/>
        </w:rPr>
        <w:t>, č. 298/15, rozsudek ze dne 20. května 2025, § 125).</w:t>
      </w:r>
    </w:p>
    <w:p w14:paraId="35B812F6" w14:textId="4C7A89F4" w:rsidR="007F3584" w:rsidRDefault="00960C9E" w:rsidP="00F73F23">
      <w:pPr>
        <w:pStyle w:val="Textodstavce"/>
        <w:rPr>
          <w:rFonts w:cstheme="minorHAnsi"/>
          <w:szCs w:val="24"/>
        </w:rPr>
      </w:pPr>
      <w:r>
        <w:rPr>
          <w:rFonts w:cstheme="minorHAnsi"/>
          <w:szCs w:val="24"/>
        </w:rPr>
        <w:t xml:space="preserve">V této souvislosti vláda uvádí, že podle pokynu policejního prezidenta jsou policisté již od června 2021 povinni aktivovat své osobní kamery během zásahu vůči jiným osobám. Na poradě policejního prezidenta s krajskými policejními řediteli v září 2025 bylo akcentováno, že policisté jsou povinni při nástupu do služby převzít a přezkoušet osobní kameru, a aktivovat ji před provedením každého zásahu. Uplatňování těchto pokynů v praxi lze </w:t>
      </w:r>
      <w:r w:rsidR="007D1F55">
        <w:rPr>
          <w:rFonts w:cstheme="minorHAnsi"/>
          <w:szCs w:val="24"/>
        </w:rPr>
        <w:t>doloži</w:t>
      </w:r>
      <w:r>
        <w:rPr>
          <w:rFonts w:cstheme="minorHAnsi"/>
          <w:szCs w:val="24"/>
        </w:rPr>
        <w:t>t na následujících údajích:</w:t>
      </w:r>
    </w:p>
    <w:p w14:paraId="0AC85353" w14:textId="0947032E" w:rsidR="00960C9E" w:rsidRDefault="00960C9E" w:rsidP="00960C9E">
      <w:pPr>
        <w:pStyle w:val="Textodstavce"/>
        <w:numPr>
          <w:ilvl w:val="0"/>
          <w:numId w:val="2"/>
        </w:numPr>
        <w:rPr>
          <w:rFonts w:cstheme="minorHAnsi"/>
          <w:szCs w:val="24"/>
        </w:rPr>
      </w:pPr>
      <w:r>
        <w:rPr>
          <w:rFonts w:cstheme="minorHAnsi"/>
          <w:szCs w:val="24"/>
        </w:rPr>
        <w:t xml:space="preserve">v současné době má Policie ČR k dispozici přibližně 5900 osobních kamer (zatímco aktuálně </w:t>
      </w:r>
      <w:r w:rsidRPr="00960C9E">
        <w:rPr>
          <w:rFonts w:cstheme="minorHAnsi"/>
          <w:szCs w:val="24"/>
        </w:rPr>
        <w:t>je ve službě 4335 uniformovaných policistů, kteří jsou v 2558 hlídkách</w:t>
      </w:r>
      <w:r>
        <w:rPr>
          <w:rFonts w:cstheme="minorHAnsi"/>
          <w:szCs w:val="24"/>
        </w:rPr>
        <w:t>);</w:t>
      </w:r>
    </w:p>
    <w:p w14:paraId="4D3070CE" w14:textId="15CF9853" w:rsidR="00960C9E" w:rsidRDefault="00960C9E" w:rsidP="00960C9E">
      <w:pPr>
        <w:pStyle w:val="Textodstavce"/>
        <w:numPr>
          <w:ilvl w:val="0"/>
          <w:numId w:val="2"/>
        </w:numPr>
        <w:rPr>
          <w:rFonts w:cstheme="minorHAnsi"/>
          <w:szCs w:val="24"/>
        </w:rPr>
      </w:pPr>
      <w:r>
        <w:rPr>
          <w:rFonts w:cstheme="minorHAnsi"/>
          <w:szCs w:val="24"/>
        </w:rPr>
        <w:t>většina policejních vozidel je navíc vybavena integrovanou kamerou, která se automaticky zapíná při užívání vozidla a rovněž může snímat průběh policejních zásahů;</w:t>
      </w:r>
    </w:p>
    <w:p w14:paraId="1AD867C9" w14:textId="5EAF5D15" w:rsidR="00960C9E" w:rsidRPr="00960C9E" w:rsidRDefault="00960C9E" w:rsidP="00960C9E">
      <w:pPr>
        <w:pStyle w:val="Textodstavce"/>
        <w:numPr>
          <w:ilvl w:val="0"/>
          <w:numId w:val="2"/>
        </w:numPr>
        <w:rPr>
          <w:rFonts w:cstheme="minorHAnsi"/>
          <w:szCs w:val="24"/>
        </w:rPr>
      </w:pPr>
      <w:r>
        <w:rPr>
          <w:rFonts w:cstheme="minorHAnsi"/>
          <w:szCs w:val="24"/>
        </w:rPr>
        <w:t>za rok 2025 došlo v České republice zatím k šesti úmrtím v důsledku policejního zásahu; z nich pět bylo nahráno na policejní kameru.</w:t>
      </w:r>
    </w:p>
    <w:p w14:paraId="717B43CE" w14:textId="6624BA28" w:rsidR="00E917F4" w:rsidRDefault="00960C9E" w:rsidP="00E917F4">
      <w:pPr>
        <w:pStyle w:val="Textodstavce"/>
        <w:rPr>
          <w:rFonts w:cstheme="minorHAnsi"/>
          <w:szCs w:val="24"/>
        </w:rPr>
      </w:pPr>
      <w:r>
        <w:rPr>
          <w:rFonts w:cstheme="minorHAnsi"/>
          <w:szCs w:val="24"/>
        </w:rPr>
        <w:t>A v neposlední řadě</w:t>
      </w:r>
      <w:r w:rsidR="00E917F4">
        <w:rPr>
          <w:rFonts w:cstheme="minorHAnsi"/>
          <w:szCs w:val="24"/>
        </w:rPr>
        <w:t xml:space="preserve">, </w:t>
      </w:r>
      <w:r w:rsidR="00A609FE" w:rsidRPr="00A609FE">
        <w:rPr>
          <w:rFonts w:cstheme="minorHAnsi"/>
          <w:szCs w:val="24"/>
        </w:rPr>
        <w:t>Policie ČR</w:t>
      </w:r>
      <w:r w:rsidR="007F3584">
        <w:rPr>
          <w:rFonts w:cstheme="minorHAnsi"/>
          <w:szCs w:val="24"/>
        </w:rPr>
        <w:t xml:space="preserve"> hodlá</w:t>
      </w:r>
      <w:r w:rsidR="00A609FE" w:rsidRPr="00A609FE">
        <w:rPr>
          <w:rFonts w:cstheme="minorHAnsi"/>
          <w:szCs w:val="24"/>
        </w:rPr>
        <w:t xml:space="preserve"> realizovat dlouhodobý</w:t>
      </w:r>
      <w:r w:rsidR="00E917F4">
        <w:rPr>
          <w:rFonts w:cstheme="minorHAnsi"/>
          <w:szCs w:val="24"/>
        </w:rPr>
        <w:t xml:space="preserve"> komparativní </w:t>
      </w:r>
      <w:r w:rsidR="00A609FE" w:rsidRPr="00A609FE">
        <w:rPr>
          <w:rFonts w:cstheme="minorHAnsi"/>
          <w:szCs w:val="24"/>
        </w:rPr>
        <w:t xml:space="preserve">výzkum </w:t>
      </w:r>
      <w:r w:rsidR="00E917F4">
        <w:rPr>
          <w:rFonts w:cstheme="minorHAnsi"/>
          <w:szCs w:val="24"/>
        </w:rPr>
        <w:t>o pozitivních a negativních dopadech okamžitého výslechu policistů po zásahu a o opatřeních k prevenci koluze z právního, psychologického a kriminologického pohledu. Tento výzkum bude založen na kvantitativních i kvalitativních metodách, jakož i na srovnání různých modelů existujících v jiných zemích. Na základě výsledků výzkumu Policie ČR pečlivě zváží potřebu případných dalších kroků.</w:t>
      </w:r>
    </w:p>
    <w:p w14:paraId="3AF6ECB0" w14:textId="7584C49F" w:rsidR="00D458A5" w:rsidRPr="00303CCF" w:rsidRDefault="00D458A5" w:rsidP="00D458A5">
      <w:pPr>
        <w:pStyle w:val="Textodstavce"/>
        <w:rPr>
          <w:szCs w:val="24"/>
        </w:rPr>
      </w:pPr>
      <w:r w:rsidRPr="00D35C5E">
        <w:rPr>
          <w:rFonts w:cstheme="minorHAnsi"/>
          <w:szCs w:val="24"/>
        </w:rPr>
        <w:t xml:space="preserve">Pokud jde o </w:t>
      </w:r>
      <w:r w:rsidRPr="00A609FE">
        <w:rPr>
          <w:rFonts w:cstheme="minorHAnsi"/>
          <w:i/>
          <w:iCs/>
          <w:szCs w:val="24"/>
        </w:rPr>
        <w:t xml:space="preserve">druhý </w:t>
      </w:r>
      <w:r w:rsidRPr="00D35C5E">
        <w:rPr>
          <w:rFonts w:cstheme="minorHAnsi"/>
          <w:szCs w:val="24"/>
        </w:rPr>
        <w:t xml:space="preserve">a </w:t>
      </w:r>
      <w:r w:rsidRPr="00A609FE">
        <w:rPr>
          <w:rFonts w:cstheme="minorHAnsi"/>
          <w:i/>
          <w:iCs/>
          <w:szCs w:val="24"/>
        </w:rPr>
        <w:t xml:space="preserve">třetí </w:t>
      </w:r>
      <w:r w:rsidRPr="00D35C5E">
        <w:rPr>
          <w:rFonts w:cstheme="minorHAnsi"/>
          <w:szCs w:val="24"/>
        </w:rPr>
        <w:t>problém</w:t>
      </w:r>
      <w:r w:rsidRPr="00A31CDB">
        <w:t xml:space="preserve">, </w:t>
      </w:r>
      <w:r w:rsidR="00C42A92">
        <w:t>jež</w:t>
      </w:r>
      <w:r w:rsidRPr="00A31CDB">
        <w:t xml:space="preserve"> </w:t>
      </w:r>
      <w:r w:rsidR="00303CCF">
        <w:t>Soud</w:t>
      </w:r>
      <w:r w:rsidRPr="00A31CDB">
        <w:t xml:space="preserve"> identifikoval, vedení GI</w:t>
      </w:r>
      <w:r w:rsidR="00303CCF">
        <w:t>BS</w:t>
      </w:r>
      <w:r w:rsidRPr="00A31CDB">
        <w:t xml:space="preserve"> projednalo závěry </w:t>
      </w:r>
      <w:r w:rsidR="00303CCF">
        <w:t>Soudu</w:t>
      </w:r>
      <w:r w:rsidRPr="00A31CDB">
        <w:t xml:space="preserve"> na </w:t>
      </w:r>
      <w:r w:rsidRPr="00303CCF">
        <w:rPr>
          <w:szCs w:val="24"/>
        </w:rPr>
        <w:t>svých interních schůzkách a hodlá instruovat své podřízené úředníky na pravidelných školeních, aby se těmto problémům v budoucnu vyhnuli.</w:t>
      </w:r>
    </w:p>
    <w:p w14:paraId="749D2040" w14:textId="2C989FC3" w:rsidR="00D458A5" w:rsidRDefault="00D458A5" w:rsidP="00D458A5">
      <w:pPr>
        <w:pStyle w:val="Textodstavce"/>
        <w:rPr>
          <w:szCs w:val="24"/>
        </w:rPr>
      </w:pPr>
      <w:r w:rsidRPr="00303CCF">
        <w:rPr>
          <w:szCs w:val="24"/>
        </w:rPr>
        <w:t xml:space="preserve">Dne 18. září 2024 </w:t>
      </w:r>
      <w:r w:rsidR="00303CCF">
        <w:rPr>
          <w:szCs w:val="24"/>
        </w:rPr>
        <w:t>uspořád</w:t>
      </w:r>
      <w:r w:rsidR="00E917F4">
        <w:rPr>
          <w:szCs w:val="24"/>
        </w:rPr>
        <w:t>ala</w:t>
      </w:r>
      <w:r w:rsidRPr="00303CCF">
        <w:rPr>
          <w:szCs w:val="24"/>
        </w:rPr>
        <w:t xml:space="preserve"> GI</w:t>
      </w:r>
      <w:r w:rsidR="00303CCF">
        <w:rPr>
          <w:szCs w:val="24"/>
        </w:rPr>
        <w:t>B</w:t>
      </w:r>
      <w:r w:rsidRPr="00303CCF">
        <w:rPr>
          <w:szCs w:val="24"/>
        </w:rPr>
        <w:t xml:space="preserve">S ve spolupráci s Policejní akademií ČR seminář o </w:t>
      </w:r>
      <w:r w:rsidR="00303CCF">
        <w:rPr>
          <w:szCs w:val="24"/>
        </w:rPr>
        <w:t>účinném</w:t>
      </w:r>
      <w:r w:rsidRPr="00303CCF">
        <w:rPr>
          <w:szCs w:val="24"/>
        </w:rPr>
        <w:t xml:space="preserve"> vyšetřování použití síly ze strany státních </w:t>
      </w:r>
      <w:r w:rsidR="00303CCF">
        <w:rPr>
          <w:szCs w:val="24"/>
        </w:rPr>
        <w:t>bezpečnostních složek</w:t>
      </w:r>
      <w:r w:rsidRPr="00303CCF">
        <w:rPr>
          <w:szCs w:val="24"/>
        </w:rPr>
        <w:t>. Během semináře b</w:t>
      </w:r>
      <w:r w:rsidR="00E917F4">
        <w:rPr>
          <w:szCs w:val="24"/>
        </w:rPr>
        <w:t>yl</w:t>
      </w:r>
      <w:r w:rsidRPr="00303CCF">
        <w:rPr>
          <w:szCs w:val="24"/>
        </w:rPr>
        <w:t xml:space="preserve"> kladen zvláštní důraz na nedostatky, které </w:t>
      </w:r>
      <w:r w:rsidR="00303CCF">
        <w:rPr>
          <w:szCs w:val="24"/>
        </w:rPr>
        <w:t>Soud</w:t>
      </w:r>
      <w:r w:rsidRPr="00303CCF">
        <w:rPr>
          <w:szCs w:val="24"/>
        </w:rPr>
        <w:t xml:space="preserve"> identifikoval v rozsudku </w:t>
      </w:r>
      <w:r w:rsidRPr="00303CCF">
        <w:rPr>
          <w:i/>
          <w:iCs/>
          <w:szCs w:val="24"/>
        </w:rPr>
        <w:t>V proti České republice</w:t>
      </w:r>
      <w:r w:rsidRPr="00303CCF">
        <w:rPr>
          <w:szCs w:val="24"/>
        </w:rPr>
        <w:t>. Semináře se zúčastn</w:t>
      </w:r>
      <w:r w:rsidR="00E917F4">
        <w:rPr>
          <w:szCs w:val="24"/>
        </w:rPr>
        <w:t>ili</w:t>
      </w:r>
      <w:r w:rsidRPr="00303CCF">
        <w:rPr>
          <w:szCs w:val="24"/>
        </w:rPr>
        <w:t xml:space="preserve"> především příslušníci GI</w:t>
      </w:r>
      <w:r w:rsidR="00303CCF">
        <w:rPr>
          <w:szCs w:val="24"/>
        </w:rPr>
        <w:t>B</w:t>
      </w:r>
      <w:r w:rsidRPr="00303CCF">
        <w:rPr>
          <w:szCs w:val="24"/>
        </w:rPr>
        <w:t>S, ale i příslušníci dalších bezpečnostních sborů. Semináře se zúčastn</w:t>
      </w:r>
      <w:r w:rsidR="00E917F4">
        <w:rPr>
          <w:szCs w:val="24"/>
        </w:rPr>
        <w:t>ili</w:t>
      </w:r>
      <w:r w:rsidRPr="00303CCF">
        <w:rPr>
          <w:szCs w:val="24"/>
        </w:rPr>
        <w:t xml:space="preserve"> i zástupci </w:t>
      </w:r>
      <w:r w:rsidR="00303CCF">
        <w:rPr>
          <w:szCs w:val="24"/>
        </w:rPr>
        <w:t>Kanceláře vládního</w:t>
      </w:r>
      <w:r w:rsidRPr="00303CCF">
        <w:rPr>
          <w:szCs w:val="24"/>
        </w:rPr>
        <w:t xml:space="preserve"> zmocněnce jako školitelé.</w:t>
      </w:r>
    </w:p>
    <w:p w14:paraId="7E39968B" w14:textId="140B40DE" w:rsidR="00E917F4" w:rsidRPr="00303CCF" w:rsidRDefault="00E917F4" w:rsidP="007D1F55">
      <w:pPr>
        <w:pStyle w:val="Textodstavce"/>
        <w:rPr>
          <w:szCs w:val="24"/>
        </w:rPr>
      </w:pPr>
      <w:r w:rsidRPr="00303CCF">
        <w:rPr>
          <w:szCs w:val="24"/>
        </w:rPr>
        <w:t xml:space="preserve">Kancelář vládního zmocněnce </w:t>
      </w:r>
      <w:r>
        <w:rPr>
          <w:szCs w:val="24"/>
        </w:rPr>
        <w:t xml:space="preserve">dále v březnu 2025 vydala </w:t>
      </w:r>
      <w:hyperlink r:id="rId15" w:history="1">
        <w:r w:rsidRPr="00E917F4">
          <w:rPr>
            <w:rStyle w:val="Hypertextovodkaz"/>
            <w:szCs w:val="24"/>
          </w:rPr>
          <w:t xml:space="preserve">tematickou </w:t>
        </w:r>
        <w:r w:rsidRPr="00E917F4">
          <w:rPr>
            <w:rStyle w:val="Hypertextovodkaz"/>
            <w:rFonts w:cstheme="minorHAnsi"/>
            <w:szCs w:val="24"/>
          </w:rPr>
          <w:t>příručku</w:t>
        </w:r>
      </w:hyperlink>
      <w:r w:rsidRPr="00303CCF">
        <w:rPr>
          <w:rFonts w:cstheme="minorHAnsi"/>
          <w:szCs w:val="24"/>
        </w:rPr>
        <w:t xml:space="preserve"> o judikatuře Soudu k požadavku důkladnosti účinného vyšetřování</w:t>
      </w:r>
      <w:r w:rsidRPr="00303CCF">
        <w:rPr>
          <w:szCs w:val="24"/>
        </w:rPr>
        <w:t xml:space="preserve">. </w:t>
      </w:r>
      <w:r>
        <w:rPr>
          <w:szCs w:val="24"/>
        </w:rPr>
        <w:t xml:space="preserve">Příručka </w:t>
      </w:r>
      <w:r w:rsidRPr="00303CCF">
        <w:rPr>
          <w:szCs w:val="24"/>
        </w:rPr>
        <w:t>obsah</w:t>
      </w:r>
      <w:r>
        <w:rPr>
          <w:szCs w:val="24"/>
        </w:rPr>
        <w:t>uje</w:t>
      </w:r>
      <w:r w:rsidRPr="00303CCF">
        <w:rPr>
          <w:szCs w:val="24"/>
        </w:rPr>
        <w:t xml:space="preserve"> přehled obecných zásad vyplývajících z judikatury Soudu</w:t>
      </w:r>
      <w:r>
        <w:rPr>
          <w:szCs w:val="24"/>
        </w:rPr>
        <w:t>;</w:t>
      </w:r>
      <w:r w:rsidRPr="00303CCF">
        <w:rPr>
          <w:szCs w:val="24"/>
        </w:rPr>
        <w:t xml:space="preserve"> ještě důležitější </w:t>
      </w:r>
      <w:r>
        <w:rPr>
          <w:szCs w:val="24"/>
        </w:rPr>
        <w:t>j</w:t>
      </w:r>
      <w:r w:rsidRPr="00303CCF">
        <w:rPr>
          <w:szCs w:val="24"/>
        </w:rPr>
        <w:t>e přehled nejčastěji se opakujících nedostatků ve vyšetřování, které Soud identifikoval a za které kritizoval vnitrostátní orgány. Tento materiál poslouží jako užitečná příručka zejména pro vyšetřovatele GI</w:t>
      </w:r>
      <w:r>
        <w:rPr>
          <w:szCs w:val="24"/>
        </w:rPr>
        <w:t>B</w:t>
      </w:r>
      <w:r w:rsidRPr="00303CCF">
        <w:rPr>
          <w:szCs w:val="24"/>
        </w:rPr>
        <w:t>S, aby věděli, kterým aspektům by měli věnovat zvláštní pozornost.</w:t>
      </w:r>
      <w:r>
        <w:rPr>
          <w:rStyle w:val="Znakapoznpodarou"/>
          <w:szCs w:val="24"/>
        </w:rPr>
        <w:footnoteReference w:id="8"/>
      </w:r>
      <w:r>
        <w:rPr>
          <w:szCs w:val="24"/>
        </w:rPr>
        <w:t xml:space="preserve"> </w:t>
      </w:r>
      <w:r w:rsidR="005A3ADC">
        <w:rPr>
          <w:szCs w:val="24"/>
        </w:rPr>
        <w:t xml:space="preserve">Bylo na něj upozorněno prostřednictvím </w:t>
      </w:r>
      <w:hyperlink r:id="rId16" w:history="1">
        <w:r w:rsidR="005A3ADC" w:rsidRPr="005A3ADC">
          <w:rPr>
            <w:rStyle w:val="Hypertextovodkaz"/>
            <w:szCs w:val="24"/>
          </w:rPr>
          <w:t>tiskové zprávy</w:t>
        </w:r>
      </w:hyperlink>
      <w:r w:rsidR="005A3ADC">
        <w:rPr>
          <w:szCs w:val="24"/>
        </w:rPr>
        <w:t xml:space="preserve"> a sociálních médií.</w:t>
      </w:r>
    </w:p>
    <w:p w14:paraId="4AEB2A31" w14:textId="77777777" w:rsidR="00D458A5" w:rsidRPr="00303CCF" w:rsidRDefault="00D458A5" w:rsidP="00D458A5">
      <w:pPr>
        <w:pStyle w:val="Nadpissti"/>
        <w:rPr>
          <w:szCs w:val="24"/>
        </w:rPr>
      </w:pPr>
      <w:r w:rsidRPr="00303CCF">
        <w:rPr>
          <w:szCs w:val="24"/>
        </w:rPr>
        <w:t>III. Závěr</w:t>
      </w:r>
    </w:p>
    <w:p w14:paraId="3ABE65DB" w14:textId="0F27869F" w:rsidR="00D458A5" w:rsidRDefault="00D458A5" w:rsidP="00D458A5">
      <w:pPr>
        <w:pStyle w:val="Textodstavce"/>
      </w:pPr>
      <w:r w:rsidRPr="00303CCF">
        <w:rPr>
          <w:szCs w:val="24"/>
        </w:rPr>
        <w:t xml:space="preserve">Vláda České republiky bude pokračovat v úsilí o výkon rozsudku podle výše stanoveného akčního plánu a do </w:t>
      </w:r>
      <w:r w:rsidR="005A3ADC">
        <w:rPr>
          <w:szCs w:val="24"/>
        </w:rPr>
        <w:t>30</w:t>
      </w:r>
      <w:r w:rsidRPr="00303CCF">
        <w:rPr>
          <w:szCs w:val="24"/>
        </w:rPr>
        <w:t>. září 202</w:t>
      </w:r>
      <w:r w:rsidR="005A3ADC">
        <w:rPr>
          <w:szCs w:val="24"/>
        </w:rPr>
        <w:t>6</w:t>
      </w:r>
      <w:r w:rsidRPr="00303CCF">
        <w:rPr>
          <w:szCs w:val="24"/>
        </w:rPr>
        <w:t xml:space="preserve"> předloží</w:t>
      </w:r>
      <w:r w:rsidRPr="00A31CDB">
        <w:t xml:space="preserve"> Výboru ministrů</w:t>
      </w:r>
      <w:r w:rsidR="005A3ADC">
        <w:t xml:space="preserve"> aktualizovaný akční plán.</w:t>
      </w:r>
    </w:p>
    <w:p w14:paraId="750FCC27" w14:textId="17353671" w:rsidR="005A3ADC" w:rsidRPr="00A31CDB" w:rsidRDefault="005A3ADC" w:rsidP="00D458A5">
      <w:pPr>
        <w:pStyle w:val="Textodstavce"/>
      </w:pPr>
      <w:r>
        <w:t>Vláda se domnívá, že v oblastech, o nichž tento akční plán pojednává v částech A, B, D.2, D.3 a F, byla již přijata dostatečná implementační opatření. Aktualizovaný akční plán se proto bude soustředit na zbývající oblasti, a to konkrétně C.1, C.2, D.1 a E.</w:t>
      </w:r>
    </w:p>
    <w:p w14:paraId="64667F4C" w14:textId="77777777" w:rsidR="00744322" w:rsidRPr="00A31CDB" w:rsidRDefault="00744322"/>
    <w:sectPr w:rsidR="00744322" w:rsidRPr="00A31C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0D47B" w14:textId="77777777" w:rsidR="00D458A5" w:rsidRDefault="00D458A5" w:rsidP="00D458A5">
      <w:pPr>
        <w:spacing w:after="0" w:line="240" w:lineRule="auto"/>
      </w:pPr>
      <w:r>
        <w:separator/>
      </w:r>
    </w:p>
  </w:endnote>
  <w:endnote w:type="continuationSeparator" w:id="0">
    <w:p w14:paraId="200C6D64" w14:textId="77777777" w:rsidR="00D458A5" w:rsidRDefault="00D458A5" w:rsidP="00D4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DDF87" w14:textId="77777777" w:rsidR="00D458A5" w:rsidRDefault="00D458A5" w:rsidP="00D458A5">
      <w:pPr>
        <w:spacing w:after="0" w:line="240" w:lineRule="auto"/>
      </w:pPr>
      <w:r>
        <w:separator/>
      </w:r>
    </w:p>
  </w:footnote>
  <w:footnote w:type="continuationSeparator" w:id="0">
    <w:p w14:paraId="2E27986F" w14:textId="77777777" w:rsidR="00D458A5" w:rsidRDefault="00D458A5" w:rsidP="00D458A5">
      <w:pPr>
        <w:spacing w:after="0" w:line="240" w:lineRule="auto"/>
      </w:pPr>
      <w:r>
        <w:continuationSeparator/>
      </w:r>
    </w:p>
  </w:footnote>
  <w:footnote w:id="1">
    <w:p w14:paraId="3556440C" w14:textId="49102357" w:rsidR="00D458A5" w:rsidRPr="00F572F8" w:rsidRDefault="00D458A5" w:rsidP="00D458A5">
      <w:pPr>
        <w:pStyle w:val="Textpoznpodarou"/>
        <w:spacing w:after="120"/>
        <w:jc w:val="both"/>
      </w:pPr>
      <w:r>
        <w:rPr>
          <w:rStyle w:val="Znakapoznpodarou"/>
          <w:lang w:val="en-GB"/>
        </w:rPr>
        <w:footnoteRef/>
      </w:r>
      <w:r>
        <w:rPr>
          <w:lang w:val="en-GB"/>
        </w:rPr>
        <w:t xml:space="preserve"> </w:t>
      </w:r>
      <w:r w:rsidRPr="00F572F8">
        <w:t xml:space="preserve">Podrobnosti o platbě </w:t>
      </w:r>
      <w:r w:rsidR="00F572F8" w:rsidRPr="00F572F8">
        <w:t>jsou k dispozici na vyžádání v Kanceláři vládního zmocněn</w:t>
      </w:r>
      <w:r w:rsidR="00F572F8">
        <w:t>c</w:t>
      </w:r>
      <w:r w:rsidR="00F572F8" w:rsidRPr="00F572F8">
        <w:t>e.</w:t>
      </w:r>
    </w:p>
  </w:footnote>
  <w:footnote w:id="2">
    <w:p w14:paraId="497D50C2" w14:textId="31BA422A" w:rsidR="00D458A5" w:rsidRPr="00F572F8" w:rsidRDefault="00D458A5" w:rsidP="00D458A5">
      <w:pPr>
        <w:pStyle w:val="Default"/>
        <w:spacing w:after="120"/>
        <w:jc w:val="both"/>
        <w:rPr>
          <w:sz w:val="20"/>
          <w:szCs w:val="20"/>
        </w:rPr>
      </w:pPr>
      <w:r w:rsidRPr="00F572F8">
        <w:rPr>
          <w:rStyle w:val="Znakapoznpodarou"/>
          <w:sz w:val="20"/>
          <w:szCs w:val="20"/>
        </w:rPr>
        <w:footnoteRef/>
      </w:r>
      <w:r w:rsidRPr="00F572F8">
        <w:rPr>
          <w:sz w:val="20"/>
          <w:szCs w:val="20"/>
        </w:rPr>
        <w:t xml:space="preserve"> Ustanovení § 119 zákona o Ústavním soudu ve znění zákona č. 404/2012 Sb. </w:t>
      </w:r>
      <w:r w:rsidRPr="00F572F8">
        <w:rPr>
          <w:i/>
          <w:iCs/>
          <w:sz w:val="20"/>
          <w:szCs w:val="20"/>
        </w:rPr>
        <w:t>mimo jiné</w:t>
      </w:r>
      <w:r w:rsidRPr="00F572F8">
        <w:rPr>
          <w:sz w:val="20"/>
          <w:szCs w:val="20"/>
        </w:rPr>
        <w:t xml:space="preserve"> stanoví, že pokud Ústavní soud již dříve rozhodl ve věci, v níž mezinárodní soud shledal porušení lidských práv nebo základních svobod zaručených mezinárodní smlouvou, je možné podat návrh na obnovu řízení, v němž bylo</w:t>
      </w:r>
      <w:r w:rsidR="006D3E0B">
        <w:rPr>
          <w:sz w:val="20"/>
          <w:szCs w:val="20"/>
        </w:rPr>
        <w:t xml:space="preserve"> </w:t>
      </w:r>
      <w:r w:rsidR="006D3E0B" w:rsidRPr="00F572F8">
        <w:rPr>
          <w:sz w:val="20"/>
          <w:szCs w:val="20"/>
        </w:rPr>
        <w:t>rozhodnutí</w:t>
      </w:r>
      <w:r w:rsidRPr="00F572F8">
        <w:rPr>
          <w:sz w:val="20"/>
          <w:szCs w:val="20"/>
        </w:rPr>
        <w:t xml:space="preserve"> vydáno. Ustanovení § 119b </w:t>
      </w:r>
      <w:r w:rsidRPr="00F572F8">
        <w:rPr>
          <w:i/>
          <w:iCs/>
          <w:sz w:val="20"/>
          <w:szCs w:val="20"/>
        </w:rPr>
        <w:t>mimo jiné</w:t>
      </w:r>
      <w:r w:rsidRPr="00F572F8">
        <w:rPr>
          <w:sz w:val="20"/>
          <w:szCs w:val="20"/>
        </w:rPr>
        <w:t xml:space="preserve"> stanoví, že pokud byl předchozí rozsudek Ústavního soudu (</w:t>
      </w:r>
      <w:r w:rsidRPr="00F572F8">
        <w:rPr>
          <w:i/>
          <w:iCs/>
          <w:sz w:val="20"/>
          <w:szCs w:val="20"/>
        </w:rPr>
        <w:t>nález</w:t>
      </w:r>
      <w:r w:rsidRPr="00F572F8">
        <w:rPr>
          <w:sz w:val="20"/>
          <w:szCs w:val="20"/>
        </w:rPr>
        <w:t xml:space="preserve">) v rozporu s rozhodnutím přijatým mezinárodním soudem, musí </w:t>
      </w:r>
      <w:r w:rsidR="00892C16">
        <w:rPr>
          <w:sz w:val="20"/>
          <w:szCs w:val="20"/>
        </w:rPr>
        <w:t>být zrušen</w:t>
      </w:r>
      <w:r w:rsidRPr="00F572F8">
        <w:rPr>
          <w:sz w:val="20"/>
          <w:szCs w:val="20"/>
        </w:rPr>
        <w:t>. Zruší-li Ústavní soud svůj nález, zabývá se znovu původní ústavní stížností a nový nález by měl vycházet z právního názoru mezinárodního soudu.</w:t>
      </w:r>
      <w:r w:rsidR="006D3E0B">
        <w:rPr>
          <w:sz w:val="20"/>
          <w:szCs w:val="20"/>
        </w:rPr>
        <w:t xml:space="preserve"> </w:t>
      </w:r>
    </w:p>
  </w:footnote>
  <w:footnote w:id="3">
    <w:p w14:paraId="678FF87E" w14:textId="4EFC8781" w:rsidR="00D458A5" w:rsidRPr="006D3E0B" w:rsidRDefault="00D458A5" w:rsidP="00D458A5">
      <w:pPr>
        <w:pStyle w:val="Textpoznpodarou"/>
        <w:spacing w:after="120"/>
        <w:jc w:val="both"/>
      </w:pPr>
      <w:r w:rsidRPr="00F572F8">
        <w:rPr>
          <w:rStyle w:val="Znakapoznpodarou"/>
        </w:rPr>
        <w:footnoteRef/>
      </w:r>
      <w:r w:rsidRPr="00F572F8">
        <w:t xml:space="preserve"> V červnu 2024 ministerstvo spravedlnosti oficiálně spustilo nové webové stránky </w:t>
      </w:r>
      <w:hyperlink r:id="rId1" w:history="1">
        <w:r w:rsidRPr="00F572F8">
          <w:rPr>
            <w:rStyle w:val="Hypertextovodkaz"/>
          </w:rPr>
          <w:t xml:space="preserve">(https://mezisoudy.cz/) </w:t>
        </w:r>
      </w:hyperlink>
      <w:r w:rsidRPr="00F572F8">
        <w:t xml:space="preserve">věnované mezinárodní ochraně lidských práv. Webové stránky provozuje </w:t>
      </w:r>
      <w:r w:rsidR="00892C16">
        <w:t>Kancelář</w:t>
      </w:r>
      <w:r w:rsidRPr="00F572F8">
        <w:t xml:space="preserve"> vládního zmocněnce. Jej</w:t>
      </w:r>
      <w:r w:rsidR="00892C16">
        <w:t>ich</w:t>
      </w:r>
      <w:r w:rsidRPr="00F572F8">
        <w:t xml:space="preserve"> součástí je databáze, která umožňuje přístup k judikatuře Soud</w:t>
      </w:r>
      <w:r w:rsidR="00892C16">
        <w:t>u</w:t>
      </w:r>
      <w:r w:rsidRPr="00F572F8">
        <w:t xml:space="preserve">. Databáze obsahuje všechny rozsudky Soudu v </w:t>
      </w:r>
      <w:r w:rsidRPr="006D3E0B">
        <w:t>jazyce, v němž je Soud vydal. Nad to databáze obsahuje překlady všech rozsudků Soudu proti České republice, stovky překladů nejdůležitějších rozsudků Soudu vydaných proti jiným státům a více než 1 700 právních shrnutí dalších relevantních a významných rozsudků a rozhodnutí Soudu</w:t>
      </w:r>
      <w:r w:rsidR="00892C16">
        <w:t xml:space="preserve"> </w:t>
      </w:r>
      <w:r w:rsidR="00892C16" w:rsidRPr="006D3E0B">
        <w:t>se</w:t>
      </w:r>
      <w:r w:rsidR="00892C16">
        <w:t>psaných</w:t>
      </w:r>
      <w:r w:rsidR="00892C16" w:rsidRPr="006D3E0B">
        <w:t xml:space="preserve"> v českém jazyce</w:t>
      </w:r>
      <w:r w:rsidRPr="006D3E0B">
        <w:t>. Databáze rovněž propojuje judikaturu Soudu s judikaturou Ústavního soudu ČR a judikaturou Evropského výboru pro sociální práva a smluvních orgánů OSN.</w:t>
      </w:r>
    </w:p>
  </w:footnote>
  <w:footnote w:id="4">
    <w:p w14:paraId="193CE7B2" w14:textId="76AAD311" w:rsidR="00D458A5" w:rsidRPr="0004691D" w:rsidRDefault="00D458A5" w:rsidP="00D458A5">
      <w:pPr>
        <w:pStyle w:val="Textpoznpodarou"/>
        <w:spacing w:after="120"/>
        <w:jc w:val="both"/>
      </w:pPr>
      <w:r w:rsidRPr="006D3E0B">
        <w:rPr>
          <w:rStyle w:val="Znakapoznpodarou"/>
        </w:rPr>
        <w:footnoteRef/>
      </w:r>
      <w:r w:rsidRPr="006D3E0B">
        <w:t xml:space="preserve"> Je zřízen</w:t>
      </w:r>
      <w:r w:rsidR="00F533BD" w:rsidRPr="006D3E0B">
        <w:t>o</w:t>
      </w:r>
      <w:r w:rsidRPr="006D3E0B">
        <w:t xml:space="preserve"> v návaznosti na závazek posílit </w:t>
      </w:r>
      <w:r w:rsidR="00892C16">
        <w:t>implementaci</w:t>
      </w:r>
      <w:r w:rsidRPr="006D3E0B">
        <w:t xml:space="preserve"> Úmluvy na vnitrostátní úrovni, na němž se smluvní strany Úmluvy dohodly na konferenci "Provádění Evropské úmluvy o lidských právech, naše společná odpovědnost" dne 27. března 2015, a je poradním orgánem vládního zmocněnce, který slouží jako fórum pro analýzu a formulaci doporučení orgánům, pokud jde o vhodná opatření, která mají být přijata za účelem provádění rozsudků Soudu. Je složen ze zástupců všech ministerstev, obou komor parlamentu, nejvyšších soudů, </w:t>
      </w:r>
      <w:r w:rsidR="00892C16">
        <w:t>Nejvyššího</w:t>
      </w:r>
      <w:r w:rsidRPr="006D3E0B">
        <w:t xml:space="preserve"> státního z</w:t>
      </w:r>
      <w:r w:rsidR="00892C16">
        <w:t>astupitelství</w:t>
      </w:r>
      <w:r w:rsidRPr="006D3E0B">
        <w:t>, Kanceláře veřejného ochránce práv, akademických pracovníků a členů různých nevládních organizací působících v oblasti základních lidských práv.</w:t>
      </w:r>
    </w:p>
  </w:footnote>
  <w:footnote w:id="5">
    <w:p w14:paraId="0220CCC2" w14:textId="3E5692F5" w:rsidR="002F34BF" w:rsidRDefault="002F34BF" w:rsidP="002F34BF">
      <w:pPr>
        <w:pStyle w:val="Textpoznpodarou"/>
        <w:jc w:val="both"/>
      </w:pPr>
      <w:r>
        <w:rPr>
          <w:rStyle w:val="Znakapoznpodarou"/>
        </w:rPr>
        <w:footnoteRef/>
      </w:r>
      <w:r>
        <w:t xml:space="preserve"> Znamená to jednoleté opoždění oproti tomu, co bylo předpokládáno v akčním plánu předloženém dne 6. září 2024; důvodem tohoto opoždění je skutečnost, že jednání mezi Ministerstvem zdravotnictví a Ústavem zdravotnických informací a statistiky o parametrech tohoto sběru dat byla komplexnější, a tedy i trvala déle, než bylo původně očekáváno.</w:t>
      </w:r>
    </w:p>
  </w:footnote>
  <w:footnote w:id="6">
    <w:p w14:paraId="76FD052A" w14:textId="7EB9DC48" w:rsidR="00857672" w:rsidRPr="00857672" w:rsidRDefault="00D458A5" w:rsidP="00D458A5">
      <w:pPr>
        <w:pStyle w:val="Textodstavce"/>
        <w:spacing w:before="0" w:after="120"/>
        <w:ind w:firstLine="0"/>
        <w:rPr>
          <w:rFonts w:cstheme="minorHAnsi"/>
          <w:sz w:val="20"/>
        </w:rPr>
      </w:pPr>
      <w:r>
        <w:rPr>
          <w:rStyle w:val="Znakapoznpodarou"/>
          <w:sz w:val="20"/>
          <w:lang w:val="en-GB"/>
        </w:rPr>
        <w:footnoteRef/>
      </w:r>
      <w:r w:rsidRPr="0004691D">
        <w:rPr>
          <w:sz w:val="20"/>
        </w:rPr>
        <w:t xml:space="preserve"> </w:t>
      </w:r>
      <w:r w:rsidR="00892C16" w:rsidRPr="0004691D">
        <w:rPr>
          <w:rFonts w:cstheme="minorHAnsi"/>
          <w:sz w:val="20"/>
        </w:rPr>
        <w:t>Stížnost</w:t>
      </w:r>
      <w:r w:rsidRPr="0004691D">
        <w:rPr>
          <w:rFonts w:cstheme="minorHAnsi"/>
          <w:sz w:val="20"/>
        </w:rPr>
        <w:t xml:space="preserve"> č. 59856/18; viz </w:t>
      </w:r>
      <w:hyperlink r:id="rId2" w:history="1">
        <w:r w:rsidR="00857672" w:rsidRPr="00BB43E0">
          <w:rPr>
            <w:rStyle w:val="Hypertextovodkaz"/>
            <w:rFonts w:cstheme="minorHAnsi"/>
            <w:sz w:val="20"/>
          </w:rPr>
          <w:t>https://hudoc.echr.coe.int/eng?i=001-222261</w:t>
        </w:r>
      </w:hyperlink>
      <w:r w:rsidRPr="0004691D">
        <w:rPr>
          <w:rFonts w:cstheme="minorHAnsi"/>
          <w:sz w:val="20"/>
        </w:rPr>
        <w:t>.</w:t>
      </w:r>
    </w:p>
  </w:footnote>
  <w:footnote w:id="7">
    <w:p w14:paraId="13FAFC03" w14:textId="77777777" w:rsidR="00D458A5" w:rsidRPr="0004691D" w:rsidRDefault="00D458A5" w:rsidP="00D458A5">
      <w:pPr>
        <w:pStyle w:val="Textpoznpodarou"/>
        <w:spacing w:after="120"/>
        <w:jc w:val="both"/>
      </w:pPr>
      <w:r w:rsidRPr="00892C16">
        <w:rPr>
          <w:rStyle w:val="Znakapoznpodarou"/>
          <w:rFonts w:asciiTheme="minorHAnsi" w:hAnsiTheme="minorHAnsi" w:cstheme="minorHAnsi"/>
          <w:lang w:val="en-GB"/>
        </w:rPr>
        <w:footnoteRef/>
      </w:r>
      <w:r w:rsidRPr="0004691D">
        <w:rPr>
          <w:rFonts w:asciiTheme="minorHAnsi" w:hAnsiTheme="minorHAnsi" w:cstheme="minorHAnsi"/>
        </w:rPr>
        <w:t xml:space="preserve"> Vláda může na požádání poskytnout Odboru pro výkon soudních rozhodnutí předmětný pokyn v českém jazyce nebo případně zajistit jeho překlad do anglického jazyka.</w:t>
      </w:r>
    </w:p>
  </w:footnote>
  <w:footnote w:id="8">
    <w:p w14:paraId="56C16E8D" w14:textId="7DA8577C" w:rsidR="00E917F4" w:rsidRDefault="00E917F4" w:rsidP="00E917F4">
      <w:pPr>
        <w:pStyle w:val="Textpoznpodarou"/>
        <w:jc w:val="both"/>
      </w:pPr>
      <w:r>
        <w:rPr>
          <w:rStyle w:val="Znakapoznpodarou"/>
        </w:rPr>
        <w:footnoteRef/>
      </w:r>
      <w:r>
        <w:t xml:space="preserve"> Bylo dále domluveno, že v září 2025 Kancelář vládního zmocněnce poskytne GIBS kratší verzi tohoto materiálu v podobě, která bude přizpůsobena praktickým potřebám jejich vyšetřovatelů.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A72EE"/>
    <w:multiLevelType w:val="hybridMultilevel"/>
    <w:tmpl w:val="AF780C98"/>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1" w15:restartNumberingAfterBreak="0">
    <w:nsid w:val="447328F9"/>
    <w:multiLevelType w:val="hybridMultilevel"/>
    <w:tmpl w:val="0FDCB8FE"/>
    <w:lvl w:ilvl="0" w:tplc="726286CE">
      <w:start w:val="3"/>
      <w:numFmt w:val="bullet"/>
      <w:lvlText w:val="-"/>
      <w:lvlJc w:val="left"/>
      <w:pPr>
        <w:ind w:left="1069" w:hanging="360"/>
      </w:pPr>
      <w:rPr>
        <w:rFonts w:ascii="Calibri" w:eastAsiaTheme="minorHAns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2039118971">
    <w:abstractNumId w:val="0"/>
  </w:num>
  <w:num w:numId="2" w16cid:durableId="2064593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32"/>
    <w:rsid w:val="0004691D"/>
    <w:rsid w:val="000475A2"/>
    <w:rsid w:val="00276E66"/>
    <w:rsid w:val="002A0C16"/>
    <w:rsid w:val="002D5232"/>
    <w:rsid w:val="002F34BF"/>
    <w:rsid w:val="00303CCF"/>
    <w:rsid w:val="003926A8"/>
    <w:rsid w:val="004321CC"/>
    <w:rsid w:val="00456FCD"/>
    <w:rsid w:val="00465E52"/>
    <w:rsid w:val="004D7D16"/>
    <w:rsid w:val="005A3ADC"/>
    <w:rsid w:val="0061528D"/>
    <w:rsid w:val="006A3536"/>
    <w:rsid w:val="006D3E0B"/>
    <w:rsid w:val="006E3940"/>
    <w:rsid w:val="00744322"/>
    <w:rsid w:val="007D031C"/>
    <w:rsid w:val="007D1F55"/>
    <w:rsid w:val="007F3584"/>
    <w:rsid w:val="00857672"/>
    <w:rsid w:val="00862046"/>
    <w:rsid w:val="00892C16"/>
    <w:rsid w:val="008D6052"/>
    <w:rsid w:val="008F4020"/>
    <w:rsid w:val="00960C9E"/>
    <w:rsid w:val="00A31CDB"/>
    <w:rsid w:val="00A609FE"/>
    <w:rsid w:val="00AF513F"/>
    <w:rsid w:val="00C42A92"/>
    <w:rsid w:val="00CB596D"/>
    <w:rsid w:val="00CC2190"/>
    <w:rsid w:val="00D1593B"/>
    <w:rsid w:val="00D35C5E"/>
    <w:rsid w:val="00D458A5"/>
    <w:rsid w:val="00E76C77"/>
    <w:rsid w:val="00E917F4"/>
    <w:rsid w:val="00EF481B"/>
    <w:rsid w:val="00EF7BC0"/>
    <w:rsid w:val="00F533BD"/>
    <w:rsid w:val="00F5526C"/>
    <w:rsid w:val="00F572F8"/>
    <w:rsid w:val="00F72222"/>
    <w:rsid w:val="00F73F23"/>
    <w:rsid w:val="00FD3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AC0F"/>
  <w15:chartTrackingRefBased/>
  <w15:docId w15:val="{A8D40C35-ABF4-40DF-ABC4-A6F19E86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458A5"/>
    <w:rPr>
      <w:color w:val="0563C1" w:themeColor="hyperlink"/>
      <w:u w:val="single"/>
    </w:rPr>
  </w:style>
  <w:style w:type="paragraph" w:styleId="Textpoznpodarou">
    <w:name w:val="footnote text"/>
    <w:basedOn w:val="Normln"/>
    <w:link w:val="TextpoznpodarouChar"/>
    <w:semiHidden/>
    <w:unhideWhenUsed/>
    <w:rsid w:val="00D458A5"/>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poznpodarouChar">
    <w:name w:val="Text pozn. pod čarou Char"/>
    <w:basedOn w:val="Standardnpsmoodstavce"/>
    <w:link w:val="Textpoznpodarou"/>
    <w:semiHidden/>
    <w:rsid w:val="00D458A5"/>
    <w:rPr>
      <w:rFonts w:ascii="Times New Roman" w:eastAsia="Times New Roman" w:hAnsi="Times New Roman" w:cs="Times New Roman"/>
      <w:kern w:val="0"/>
      <w:sz w:val="20"/>
      <w:szCs w:val="20"/>
      <w:lang w:eastAsia="cs-CZ"/>
      <w14:ligatures w14:val="none"/>
    </w:rPr>
  </w:style>
  <w:style w:type="paragraph" w:customStyle="1" w:styleId="Nadpishlavn">
    <w:name w:val="Nadpis hlavní"/>
    <w:basedOn w:val="Normln"/>
    <w:rsid w:val="00D458A5"/>
    <w:pPr>
      <w:pBdr>
        <w:top w:val="single" w:sz="12" w:space="4" w:color="auto" w:shadow="1"/>
        <w:left w:val="single" w:sz="12" w:space="4" w:color="auto" w:shadow="1"/>
        <w:bottom w:val="single" w:sz="12" w:space="4" w:color="auto" w:shadow="1"/>
        <w:right w:val="single" w:sz="12" w:space="4" w:color="auto" w:shadow="1"/>
      </w:pBdr>
      <w:spacing w:after="0" w:line="240" w:lineRule="auto"/>
      <w:jc w:val="center"/>
    </w:pPr>
    <w:rPr>
      <w:rFonts w:ascii="Times New Roman" w:eastAsia="Times New Roman" w:hAnsi="Times New Roman" w:cs="Times New Roman"/>
      <w:b/>
      <w:kern w:val="0"/>
      <w:sz w:val="25"/>
      <w:szCs w:val="20"/>
      <w:lang w:eastAsia="cs-CZ"/>
      <w14:ligatures w14:val="none"/>
    </w:rPr>
  </w:style>
  <w:style w:type="character" w:customStyle="1" w:styleId="TextodstavceChar">
    <w:name w:val="Text odstavce Char"/>
    <w:link w:val="Textodstavce"/>
    <w:locked/>
    <w:rsid w:val="00D458A5"/>
    <w:rPr>
      <w:sz w:val="24"/>
    </w:rPr>
  </w:style>
  <w:style w:type="paragraph" w:customStyle="1" w:styleId="Textodstavce">
    <w:name w:val="Text odstavce"/>
    <w:basedOn w:val="Normln"/>
    <w:link w:val="TextodstavceChar"/>
    <w:rsid w:val="00D458A5"/>
    <w:pPr>
      <w:spacing w:before="120" w:after="0" w:line="240" w:lineRule="auto"/>
      <w:ind w:firstLine="709"/>
      <w:jc w:val="both"/>
    </w:pPr>
    <w:rPr>
      <w:sz w:val="24"/>
    </w:rPr>
  </w:style>
  <w:style w:type="paragraph" w:customStyle="1" w:styleId="Nadpissti">
    <w:name w:val="Nadpis části"/>
    <w:basedOn w:val="Textodstavce"/>
    <w:rsid w:val="00D458A5"/>
    <w:pPr>
      <w:keepNext/>
      <w:keepLines/>
      <w:spacing w:before="640"/>
      <w:ind w:firstLine="0"/>
      <w:jc w:val="center"/>
    </w:pPr>
    <w:rPr>
      <w:b/>
      <w:caps/>
    </w:rPr>
  </w:style>
  <w:style w:type="paragraph" w:customStyle="1" w:styleId="Nadpispodsti">
    <w:name w:val="Nadpis podčásti"/>
    <w:basedOn w:val="Nadpissti"/>
    <w:rsid w:val="00D458A5"/>
    <w:rPr>
      <w:b w:val="0"/>
      <w:bCs/>
      <w:smallCaps/>
      <w:u w:val="single"/>
    </w:rPr>
  </w:style>
  <w:style w:type="paragraph" w:customStyle="1" w:styleId="Nadpisoddlu">
    <w:name w:val="Nadpis oddílu"/>
    <w:basedOn w:val="Textodstavce"/>
    <w:rsid w:val="00D458A5"/>
    <w:pPr>
      <w:keepNext/>
      <w:spacing w:before="400"/>
      <w:ind w:firstLine="0"/>
      <w:jc w:val="center"/>
    </w:pPr>
    <w:rPr>
      <w:i/>
      <w:smallCaps/>
    </w:rPr>
  </w:style>
  <w:style w:type="paragraph" w:customStyle="1" w:styleId="Default">
    <w:name w:val="Default"/>
    <w:rsid w:val="00D458A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14:ligatures w14:val="none"/>
    </w:rPr>
  </w:style>
  <w:style w:type="character" w:styleId="Znakapoznpodarou">
    <w:name w:val="footnote reference"/>
    <w:semiHidden/>
    <w:unhideWhenUsed/>
    <w:rsid w:val="00D458A5"/>
    <w:rPr>
      <w:vertAlign w:val="superscript"/>
    </w:rPr>
  </w:style>
  <w:style w:type="character" w:customStyle="1" w:styleId="cf01">
    <w:name w:val="cf01"/>
    <w:basedOn w:val="Standardnpsmoodstavce"/>
    <w:rsid w:val="00D458A5"/>
    <w:rPr>
      <w:rFonts w:ascii="Segoe UI" w:hAnsi="Segoe UI" w:cs="Segoe UI" w:hint="default"/>
      <w:sz w:val="18"/>
      <w:szCs w:val="18"/>
    </w:rPr>
  </w:style>
  <w:style w:type="paragraph" w:styleId="Revize">
    <w:name w:val="Revision"/>
    <w:hidden/>
    <w:uiPriority w:val="99"/>
    <w:semiHidden/>
    <w:rsid w:val="00F572F8"/>
    <w:pPr>
      <w:spacing w:after="0" w:line="240" w:lineRule="auto"/>
    </w:pPr>
  </w:style>
  <w:style w:type="character" w:styleId="Odkaznakoment">
    <w:name w:val="annotation reference"/>
    <w:basedOn w:val="Standardnpsmoodstavce"/>
    <w:uiPriority w:val="99"/>
    <w:semiHidden/>
    <w:unhideWhenUsed/>
    <w:rsid w:val="006E3940"/>
    <w:rPr>
      <w:sz w:val="16"/>
      <w:szCs w:val="16"/>
    </w:rPr>
  </w:style>
  <w:style w:type="paragraph" w:styleId="Textkomente">
    <w:name w:val="annotation text"/>
    <w:basedOn w:val="Normln"/>
    <w:link w:val="TextkomenteChar"/>
    <w:uiPriority w:val="99"/>
    <w:unhideWhenUsed/>
    <w:rsid w:val="006E3940"/>
    <w:pPr>
      <w:spacing w:line="240" w:lineRule="auto"/>
    </w:pPr>
    <w:rPr>
      <w:sz w:val="20"/>
      <w:szCs w:val="20"/>
    </w:rPr>
  </w:style>
  <w:style w:type="character" w:customStyle="1" w:styleId="TextkomenteChar">
    <w:name w:val="Text komentáře Char"/>
    <w:basedOn w:val="Standardnpsmoodstavce"/>
    <w:link w:val="Textkomente"/>
    <w:uiPriority w:val="99"/>
    <w:rsid w:val="006E3940"/>
    <w:rPr>
      <w:sz w:val="20"/>
      <w:szCs w:val="20"/>
    </w:rPr>
  </w:style>
  <w:style w:type="paragraph" w:styleId="Pedmtkomente">
    <w:name w:val="annotation subject"/>
    <w:basedOn w:val="Textkomente"/>
    <w:next w:val="Textkomente"/>
    <w:link w:val="PedmtkomenteChar"/>
    <w:uiPriority w:val="99"/>
    <w:semiHidden/>
    <w:unhideWhenUsed/>
    <w:rsid w:val="006E3940"/>
    <w:rPr>
      <w:b/>
      <w:bCs/>
    </w:rPr>
  </w:style>
  <w:style w:type="character" w:customStyle="1" w:styleId="PedmtkomenteChar">
    <w:name w:val="Předmět komentáře Char"/>
    <w:basedOn w:val="TextkomenteChar"/>
    <w:link w:val="Pedmtkomente"/>
    <w:uiPriority w:val="99"/>
    <w:semiHidden/>
    <w:rsid w:val="006E3940"/>
    <w:rPr>
      <w:b/>
      <w:bCs/>
      <w:sz w:val="20"/>
      <w:szCs w:val="20"/>
    </w:rPr>
  </w:style>
  <w:style w:type="character" w:styleId="Nevyeenzmnka">
    <w:name w:val="Unresolved Mention"/>
    <w:basedOn w:val="Standardnpsmoodstavce"/>
    <w:uiPriority w:val="99"/>
    <w:semiHidden/>
    <w:unhideWhenUsed/>
    <w:rsid w:val="00862046"/>
    <w:rPr>
      <w:color w:val="605E5C"/>
      <w:shd w:val="clear" w:color="auto" w:fill="E1DFDD"/>
    </w:rPr>
  </w:style>
  <w:style w:type="character" w:styleId="Sledovanodkaz">
    <w:name w:val="FollowedHyperlink"/>
    <w:basedOn w:val="Standardnpsmoodstavce"/>
    <w:uiPriority w:val="99"/>
    <w:semiHidden/>
    <w:unhideWhenUsed/>
    <w:rsid w:val="008576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6546">
      <w:bodyDiv w:val="1"/>
      <w:marLeft w:val="0"/>
      <w:marRight w:val="0"/>
      <w:marTop w:val="0"/>
      <w:marBottom w:val="0"/>
      <w:divBdr>
        <w:top w:val="none" w:sz="0" w:space="0" w:color="auto"/>
        <w:left w:val="none" w:sz="0" w:space="0" w:color="auto"/>
        <w:bottom w:val="none" w:sz="0" w:space="0" w:color="auto"/>
        <w:right w:val="none" w:sz="0" w:space="0" w:color="auto"/>
      </w:divBdr>
    </w:div>
    <w:div w:id="158889978">
      <w:bodyDiv w:val="1"/>
      <w:marLeft w:val="0"/>
      <w:marRight w:val="0"/>
      <w:marTop w:val="0"/>
      <w:marBottom w:val="0"/>
      <w:divBdr>
        <w:top w:val="none" w:sz="0" w:space="0" w:color="auto"/>
        <w:left w:val="none" w:sz="0" w:space="0" w:color="auto"/>
        <w:bottom w:val="none" w:sz="0" w:space="0" w:color="auto"/>
        <w:right w:val="none" w:sz="0" w:space="0" w:color="auto"/>
      </w:divBdr>
    </w:div>
    <w:div w:id="167445075">
      <w:bodyDiv w:val="1"/>
      <w:marLeft w:val="0"/>
      <w:marRight w:val="0"/>
      <w:marTop w:val="0"/>
      <w:marBottom w:val="0"/>
      <w:divBdr>
        <w:top w:val="none" w:sz="0" w:space="0" w:color="auto"/>
        <w:left w:val="none" w:sz="0" w:space="0" w:color="auto"/>
        <w:bottom w:val="none" w:sz="0" w:space="0" w:color="auto"/>
        <w:right w:val="none" w:sz="0" w:space="0" w:color="auto"/>
      </w:divBdr>
    </w:div>
    <w:div w:id="472991141">
      <w:bodyDiv w:val="1"/>
      <w:marLeft w:val="0"/>
      <w:marRight w:val="0"/>
      <w:marTop w:val="0"/>
      <w:marBottom w:val="0"/>
      <w:divBdr>
        <w:top w:val="none" w:sz="0" w:space="0" w:color="auto"/>
        <w:left w:val="none" w:sz="0" w:space="0" w:color="auto"/>
        <w:bottom w:val="none" w:sz="0" w:space="0" w:color="auto"/>
        <w:right w:val="none" w:sz="0" w:space="0" w:color="auto"/>
      </w:divBdr>
    </w:div>
    <w:div w:id="697240115">
      <w:bodyDiv w:val="1"/>
      <w:marLeft w:val="0"/>
      <w:marRight w:val="0"/>
      <w:marTop w:val="0"/>
      <w:marBottom w:val="0"/>
      <w:divBdr>
        <w:top w:val="none" w:sz="0" w:space="0" w:color="auto"/>
        <w:left w:val="none" w:sz="0" w:space="0" w:color="auto"/>
        <w:bottom w:val="none" w:sz="0" w:space="0" w:color="auto"/>
        <w:right w:val="none" w:sz="0" w:space="0" w:color="auto"/>
      </w:divBdr>
    </w:div>
    <w:div w:id="796948245">
      <w:bodyDiv w:val="1"/>
      <w:marLeft w:val="0"/>
      <w:marRight w:val="0"/>
      <w:marTop w:val="0"/>
      <w:marBottom w:val="0"/>
      <w:divBdr>
        <w:top w:val="none" w:sz="0" w:space="0" w:color="auto"/>
        <w:left w:val="none" w:sz="0" w:space="0" w:color="auto"/>
        <w:bottom w:val="none" w:sz="0" w:space="0" w:color="auto"/>
        <w:right w:val="none" w:sz="0" w:space="0" w:color="auto"/>
      </w:divBdr>
    </w:div>
    <w:div w:id="1020011074">
      <w:bodyDiv w:val="1"/>
      <w:marLeft w:val="0"/>
      <w:marRight w:val="0"/>
      <w:marTop w:val="0"/>
      <w:marBottom w:val="0"/>
      <w:divBdr>
        <w:top w:val="none" w:sz="0" w:space="0" w:color="auto"/>
        <w:left w:val="none" w:sz="0" w:space="0" w:color="auto"/>
        <w:bottom w:val="none" w:sz="0" w:space="0" w:color="auto"/>
        <w:right w:val="none" w:sz="0" w:space="0" w:color="auto"/>
      </w:divBdr>
    </w:div>
    <w:div w:id="1140002949">
      <w:bodyDiv w:val="1"/>
      <w:marLeft w:val="0"/>
      <w:marRight w:val="0"/>
      <w:marTop w:val="0"/>
      <w:marBottom w:val="0"/>
      <w:divBdr>
        <w:top w:val="none" w:sz="0" w:space="0" w:color="auto"/>
        <w:left w:val="none" w:sz="0" w:space="0" w:color="auto"/>
        <w:bottom w:val="none" w:sz="0" w:space="0" w:color="auto"/>
        <w:right w:val="none" w:sz="0" w:space="0" w:color="auto"/>
      </w:divBdr>
    </w:div>
    <w:div w:id="1410343324">
      <w:bodyDiv w:val="1"/>
      <w:marLeft w:val="0"/>
      <w:marRight w:val="0"/>
      <w:marTop w:val="0"/>
      <w:marBottom w:val="0"/>
      <w:divBdr>
        <w:top w:val="none" w:sz="0" w:space="0" w:color="auto"/>
        <w:left w:val="none" w:sz="0" w:space="0" w:color="auto"/>
        <w:bottom w:val="none" w:sz="0" w:space="0" w:color="auto"/>
        <w:right w:val="none" w:sz="0" w:space="0" w:color="auto"/>
      </w:divBdr>
    </w:div>
    <w:div w:id="1521357677">
      <w:bodyDiv w:val="1"/>
      <w:marLeft w:val="0"/>
      <w:marRight w:val="0"/>
      <w:marTop w:val="0"/>
      <w:marBottom w:val="0"/>
      <w:divBdr>
        <w:top w:val="none" w:sz="0" w:space="0" w:color="auto"/>
        <w:left w:val="none" w:sz="0" w:space="0" w:color="auto"/>
        <w:bottom w:val="none" w:sz="0" w:space="0" w:color="auto"/>
        <w:right w:val="none" w:sz="0" w:space="0" w:color="auto"/>
      </w:divBdr>
    </w:div>
    <w:div w:id="19681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cz/web/msp/rozcestnik/-/clanek/strasbursky-soud-pri-zasahu-policie-proti-dusevne-nemocnemu-pacientovi-doslo-k-poruseni-prava-na-ziv-2?_com_liferay_asset_publisher_web_portlet_AssetPublisherPortlet_INSTANCE_XRfnFFegERxq_redirect=https%3A%2F%2Fjustice.cz%2Fweb%2Fmsp%2Frozcestnik%3Fp_p_id%3Dcom_liferay_asset_publisher_web_portlet_AssetPublisherPortlet_INSTANCE_XRfnFFegERxq%26p_p_lifecycle%3D0%26p_p_state%3Dnormal%26p_p_mode%3Dview%26p_r_p_resetCur%3Dfalse%26_com_liferay_asset_publisher_web_portlet_AssetPublisherPortlet_INSTANCE_XRfnFFegERxq_assetEntryId%3D3551336%26_com_liferay_asset_publisher_web_portlet_AssetPublisherPortlet_INSTANCE_XRfnFFegERxq_cur%3D15%26_com_liferay_asset_publisher_web_portlet_AssetPublisherPortlet_INSTANCE_XRfnFFegERxq_delta%3D7" TargetMode="External"/><Relationship Id="rId13" Type="http://schemas.openxmlformats.org/officeDocument/2006/relationships/hyperlink" Target="https://mzd.gov.cz/informace-o-projektu-rozvoj-akutni-psychiatricke-pe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ctim-support.eu/media-center/litigate-podca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zisoudy.cz/aktuality/kancelar-vladniho-zmocnence-vydala-za-podpory-norskych-fondu-dalsi-tematicke-priruck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zisoudy.cz/vykon-rozsudku-eslp-a-rozhodnuti-dalsich-mezinarodnich-lidskopravnich-organu/v-proti-cr" TargetMode="External"/><Relationship Id="rId5" Type="http://schemas.openxmlformats.org/officeDocument/2006/relationships/webSettings" Target="webSettings.xml"/><Relationship Id="rId15" Type="http://schemas.openxmlformats.org/officeDocument/2006/relationships/hyperlink" Target="https://mezisoudy.cz/tematicke-prirucky/dukladnost-vysetrovani" TargetMode="External"/><Relationship Id="rId10" Type="http://schemas.openxmlformats.org/officeDocument/2006/relationships/hyperlink" Target="https://mezisoudy.cz/zpravodaj-kvz" TargetMode="External"/><Relationship Id="rId4" Type="http://schemas.openxmlformats.org/officeDocument/2006/relationships/settings" Target="settings.xml"/><Relationship Id="rId9" Type="http://schemas.openxmlformats.org/officeDocument/2006/relationships/hyperlink" Target="https://mezisoudy.cz/databaze-judikatury" TargetMode="External"/><Relationship Id="rId14" Type="http://schemas.openxmlformats.org/officeDocument/2006/relationships/hyperlink" Target="https://www.bezpecivpsychiatrii.cz/project/vznik-expertni-rad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hudoc.echr.coe.int/eng?i=001-222261" TargetMode="External"/><Relationship Id="rId1" Type="http://schemas.openxmlformats.org/officeDocument/2006/relationships/hyperlink" Target="https://mezisoud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63938-96F8-4AE1-B7B6-91A142FE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9</Pages>
  <Words>3657</Words>
  <Characters>21577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Drahorád Jakub</dc:creator>
  <cp:keywords/>
  <dc:description/>
  <cp:lastModifiedBy>Martinková Jana</cp:lastModifiedBy>
  <cp:revision>7</cp:revision>
  <dcterms:created xsi:type="dcterms:W3CDTF">2025-09-10T15:04:00Z</dcterms:created>
  <dcterms:modified xsi:type="dcterms:W3CDTF">2025-09-11T15:56:00Z</dcterms:modified>
</cp:coreProperties>
</file>