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1AB23" w14:textId="6DF899EE" w:rsidR="00AF3177" w:rsidRPr="00A21648" w:rsidRDefault="00A21648" w:rsidP="00C44853">
      <w:pPr>
        <w:pStyle w:val="Nadpishlavn"/>
      </w:pPr>
      <w:r w:rsidRPr="00A21648">
        <w:t>Výkon rozsudku Evropského soudu pro lidská práva</w:t>
      </w:r>
      <w:r w:rsidR="002C1F01" w:rsidRPr="00A21648">
        <w:br/>
      </w:r>
      <w:r w:rsidRPr="00A21648">
        <w:t xml:space="preserve">ve věci č. </w:t>
      </w:r>
      <w:r w:rsidR="00C46BFF" w:rsidRPr="00A21648">
        <w:t>13968/22</w:t>
      </w:r>
      <w:r w:rsidR="00A30046" w:rsidRPr="00A21648">
        <w:t xml:space="preserve"> </w:t>
      </w:r>
      <w:r w:rsidR="00C44853" w:rsidRPr="00A21648">
        <w:t xml:space="preserve">– </w:t>
      </w:r>
      <w:r w:rsidR="00C46BFF" w:rsidRPr="00A21648">
        <w:rPr>
          <w:i/>
        </w:rPr>
        <w:t xml:space="preserve">Spišák </w:t>
      </w:r>
      <w:r w:rsidRPr="00A21648">
        <w:rPr>
          <w:i/>
        </w:rPr>
        <w:t>proti České republice</w:t>
      </w:r>
      <w:r w:rsidR="002C1F01" w:rsidRPr="00A21648">
        <w:br/>
      </w:r>
      <w:r w:rsidR="00AF3177" w:rsidRPr="00A21648">
        <w:t>A</w:t>
      </w:r>
      <w:r w:rsidRPr="00A21648">
        <w:t xml:space="preserve">kční plán předložený </w:t>
      </w:r>
      <w:r>
        <w:t>vládou České republiky</w:t>
      </w:r>
      <w:r w:rsidRPr="00A21648">
        <w:t xml:space="preserve"> dne 19. března</w:t>
      </w:r>
      <w:r w:rsidR="00AB1570" w:rsidRPr="00A21648">
        <w:t xml:space="preserve"> 20</w:t>
      </w:r>
      <w:r w:rsidR="000928E3" w:rsidRPr="00A21648">
        <w:t>2</w:t>
      </w:r>
      <w:r w:rsidR="00A30046" w:rsidRPr="00A21648">
        <w:t>5</w:t>
      </w:r>
    </w:p>
    <w:p w14:paraId="55E55C91" w14:textId="75A63157" w:rsidR="00A21648" w:rsidRDefault="00A21648" w:rsidP="00B759A0">
      <w:pPr>
        <w:pStyle w:val="Textodstavce"/>
        <w:spacing w:before="360"/>
      </w:pPr>
      <w:r w:rsidRPr="00A21648">
        <w:t xml:space="preserve">V rozsudku ze dne 20. </w:t>
      </w:r>
      <w:r>
        <w:t>č</w:t>
      </w:r>
      <w:r w:rsidRPr="00A21648">
        <w:t xml:space="preserve">ervna 2024, který nabyl právní moci v souladu s čl. 44 odst. 2 písm. b) Úmluvy, Evropský soud pro lidská práva (“Soud”) </w:t>
      </w:r>
      <w:r w:rsidR="00757588">
        <w:t>dospěl k závěru</w:t>
      </w:r>
      <w:r w:rsidRPr="00A21648">
        <w:t>, že došlo k</w:t>
      </w:r>
      <w:r>
        <w:t> </w:t>
      </w:r>
      <w:r w:rsidRPr="00A21648">
        <w:t>porušení</w:t>
      </w:r>
      <w:r>
        <w:t xml:space="preserve"> článku 14 ve spojení s článkem 5 Úmluvy. Soud shledal, že stěžovatel byl jako mladistvý diskriminován na základě věku, jelikož na rozdíl od dospělých stíhaných pro stejnou kategorii trestných činů, nebyla jeho vyšetřovací vazba předmětem automatického přezkumu každé tři měsíce, ale každých šest měsíců. </w:t>
      </w:r>
    </w:p>
    <w:p w14:paraId="7C6385CD" w14:textId="498376F8" w:rsidR="00A21648" w:rsidRDefault="00A21648" w:rsidP="00B759A0">
      <w:pPr>
        <w:pStyle w:val="Textodstavce"/>
        <w:spacing w:before="360"/>
      </w:pPr>
      <w:r>
        <w:t>Předkládaný akční plán má za cíl informovat Výbor ministrů o individuálních a obecných opatřeních, která byla přijata nebo jejichž přijetí se předpokládá za účelem řádného výkonu výše uvedeného rozsudku.</w:t>
      </w:r>
    </w:p>
    <w:p w14:paraId="21E45F9B" w14:textId="4A95FE70" w:rsidR="00AF3177" w:rsidRPr="00A21648" w:rsidRDefault="00AF3177">
      <w:pPr>
        <w:pStyle w:val="Nadpissti"/>
      </w:pPr>
      <w:r w:rsidRPr="00A21648">
        <w:t xml:space="preserve">I. </w:t>
      </w:r>
      <w:r w:rsidR="00593E3E" w:rsidRPr="00A21648">
        <w:t>Individ</w:t>
      </w:r>
      <w:r w:rsidR="00A21648">
        <w:t>ální opatření</w:t>
      </w:r>
    </w:p>
    <w:p w14:paraId="44E6B47B" w14:textId="2FFFB06A" w:rsidR="00A21648" w:rsidRDefault="00A21648" w:rsidP="00A21648">
      <w:pPr>
        <w:pStyle w:val="Textodstavce"/>
      </w:pPr>
      <w:r>
        <w:t xml:space="preserve">Soudem přiznané spravedlivé zadostiučinění ve výši 12 050 EUR (včetně daně z nákladů a výdajů) bylo </w:t>
      </w:r>
      <w:r>
        <w:t>stěžovateli</w:t>
      </w:r>
      <w:r>
        <w:t xml:space="preserve"> vyplaceno dne 8. listopadu 2024.</w:t>
      </w:r>
      <w:r w:rsidRPr="00A21648">
        <w:rPr>
          <w:rStyle w:val="Znakapoznpodarou"/>
        </w:rPr>
        <w:footnoteReference w:id="1"/>
      </w:r>
      <w:r>
        <w:t xml:space="preserve"> </w:t>
      </w:r>
    </w:p>
    <w:p w14:paraId="61A6A84A" w14:textId="4FFC3BCF" w:rsidR="00A21648" w:rsidRDefault="00A21648" w:rsidP="00A21648">
      <w:pPr>
        <w:pStyle w:val="Textodstavce"/>
      </w:pPr>
      <w:r>
        <w:t>Vláda připomíná, že zákon o Ústavním soudu nabízí možnost požádat o obnovu řízení před Ústavním soudem v návaznosti na rozsudek Soudu.</w:t>
      </w:r>
      <w:r w:rsidRPr="00A21648">
        <w:rPr>
          <w:rStyle w:val="Znakapoznpodarou"/>
        </w:rPr>
        <w:footnoteReference w:id="2"/>
      </w:r>
      <w:r>
        <w:t xml:space="preserve"> Stěžovatel této možnosti nevyužil.</w:t>
      </w:r>
    </w:p>
    <w:p w14:paraId="5192F9B2" w14:textId="77777777" w:rsidR="00A21648" w:rsidRDefault="00A21648" w:rsidP="00A21648">
      <w:pPr>
        <w:pStyle w:val="Textodstavce"/>
      </w:pPr>
      <w:r>
        <w:t>S ohledem na výše uvedené se vláda domnívá, že v případě stěžovatele není třeba přijímat žádná další individuální opatření.</w:t>
      </w:r>
    </w:p>
    <w:p w14:paraId="4F3E4060" w14:textId="322600D4" w:rsidR="00AF3177" w:rsidRPr="00A21648" w:rsidRDefault="00AF3177">
      <w:pPr>
        <w:pStyle w:val="Nadpissti"/>
      </w:pPr>
      <w:r w:rsidRPr="00A21648">
        <w:lastRenderedPageBreak/>
        <w:t xml:space="preserve">II. </w:t>
      </w:r>
      <w:r w:rsidR="00A21648">
        <w:t>obecná opatření</w:t>
      </w:r>
    </w:p>
    <w:p w14:paraId="22387AC5" w14:textId="4C27E1D8" w:rsidR="00C001AF" w:rsidRPr="00A21648" w:rsidRDefault="00C001AF" w:rsidP="00A57CA5">
      <w:pPr>
        <w:pStyle w:val="Nadpispodsti"/>
        <w:spacing w:before="360"/>
        <w:rPr>
          <w:i/>
          <w:iCs/>
          <w:u w:val="none"/>
        </w:rPr>
      </w:pPr>
      <w:r w:rsidRPr="00A21648">
        <w:rPr>
          <w:i/>
          <w:iCs/>
          <w:u w:val="none"/>
        </w:rPr>
        <w:t xml:space="preserve">A. </w:t>
      </w:r>
      <w:r w:rsidR="00A21648">
        <w:rPr>
          <w:i/>
          <w:iCs/>
          <w:u w:val="none"/>
        </w:rPr>
        <w:t>zvyšování povědomí a analýza rozsudku</w:t>
      </w:r>
    </w:p>
    <w:p w14:paraId="797B8E65" w14:textId="4223AD6E" w:rsidR="009A417A" w:rsidRPr="00A21648" w:rsidRDefault="00757588" w:rsidP="009A417A">
      <w:pPr>
        <w:pStyle w:val="Textodstavce"/>
      </w:pPr>
      <w:hyperlink r:id="rId8" w:history="1"/>
      <w:r w:rsidR="009A417A">
        <w:t xml:space="preserve">Ministerstvo spravedlnosti informovalo veřejnost o rozsudku bezprostředně po jeho vyhlášení formou </w:t>
      </w:r>
      <w:hyperlink r:id="rId9" w:history="1">
        <w:r w:rsidR="009A417A" w:rsidRPr="009A417A">
          <w:rPr>
            <w:rStyle w:val="Hypertextovodkaz"/>
          </w:rPr>
          <w:t>tiskové zprávy</w:t>
        </w:r>
      </w:hyperlink>
      <w:r w:rsidR="009A417A">
        <w:t>. Dále zveřejnilo český překlad rozsudku ve své internetové databázi mezinárodní lidskoprávní judikatury (</w:t>
      </w:r>
      <w:hyperlink r:id="rId10" w:history="1">
        <w:r w:rsidR="009A417A" w:rsidRPr="00A21648">
          <w:rPr>
            <w:rStyle w:val="Hypertextovodkaz"/>
          </w:rPr>
          <w:t>mezisoudy.cz</w:t>
        </w:r>
      </w:hyperlink>
      <w:r w:rsidR="009A417A">
        <w:t>)</w:t>
      </w:r>
      <w:r w:rsidR="009A417A" w:rsidRPr="00A21648">
        <w:rPr>
          <w:rStyle w:val="Znakapoznpodarou"/>
        </w:rPr>
        <w:footnoteReference w:id="3"/>
      </w:r>
      <w:r w:rsidR="009A417A">
        <w:t xml:space="preserve"> a jeho shrnutí ve Zpravodaji</w:t>
      </w:r>
      <w:r w:rsidR="009A417A">
        <w:t xml:space="preserve"> vládního zmocněnce č. </w:t>
      </w:r>
      <w:hyperlink r:id="rId11" w:history="1">
        <w:r w:rsidR="009A417A" w:rsidRPr="009A417A">
          <w:rPr>
            <w:rStyle w:val="Hypertextovodkaz"/>
          </w:rPr>
          <w:t>4/2024</w:t>
        </w:r>
      </w:hyperlink>
      <w:r w:rsidR="009A417A">
        <w:t>.</w:t>
      </w:r>
      <w:r w:rsidR="009A417A" w:rsidRPr="00A21648">
        <w:rPr>
          <w:rStyle w:val="Znakapoznpodarou"/>
        </w:rPr>
        <w:footnoteReference w:id="4"/>
      </w:r>
      <w:r w:rsidR="009A417A">
        <w:t xml:space="preserve"> </w:t>
      </w:r>
      <w:r w:rsidR="009A417A">
        <w:t>Kromě toho byly překlad rozsudku i jeho shrnutí zaslány všem orgánům veřejné moci, které se případem zabývaly.</w:t>
      </w:r>
    </w:p>
    <w:p w14:paraId="49D9681C" w14:textId="125B28FA" w:rsidR="009A417A" w:rsidRPr="00A21648" w:rsidRDefault="009A417A" w:rsidP="0092593D">
      <w:pPr>
        <w:pStyle w:val="Textodstavce"/>
      </w:pPr>
      <w:r w:rsidRPr="009A417A">
        <w:t>Po vyhlášení rozsudku vložilo Nejvyšší státní zastupitelství český překlad rozsudku a jeho shrnutí do své interní databáze a informovalo o něm v bulletinu rozesílaném všem českým státním zástupcům. Nejvyšší soud zaslal rozsudek trestním oddělením všech krajských soudů.</w:t>
      </w:r>
    </w:p>
    <w:p w14:paraId="7C3AA431" w14:textId="35387CF6" w:rsidR="009A417A" w:rsidRPr="00A21648" w:rsidRDefault="009A417A" w:rsidP="0092593D">
      <w:pPr>
        <w:pStyle w:val="Textodstavce"/>
      </w:pPr>
      <w:r w:rsidRPr="009A417A">
        <w:t xml:space="preserve">Výkon </w:t>
      </w:r>
      <w:r>
        <w:t>rozsudku</w:t>
      </w:r>
      <w:r w:rsidRPr="009A417A">
        <w:t xml:space="preserve"> byl dále projednáván na </w:t>
      </w:r>
      <w:hyperlink r:id="rId12" w:history="1">
        <w:r w:rsidRPr="00817806">
          <w:rPr>
            <w:rStyle w:val="Hypertextovodkaz"/>
          </w:rPr>
          <w:t>1</w:t>
        </w:r>
        <w:r w:rsidRPr="00817806">
          <w:rPr>
            <w:rStyle w:val="Hypertextovodkaz"/>
          </w:rPr>
          <w:t>1</w:t>
        </w:r>
        <w:r w:rsidRPr="00817806">
          <w:rPr>
            <w:rStyle w:val="Hypertextovodkaz"/>
          </w:rPr>
          <w:t>. zasedání</w:t>
        </w:r>
      </w:hyperlink>
      <w:r w:rsidRPr="009A417A">
        <w:t xml:space="preserve"> Kolegia expertů pro výkon rozsudků Soudu a implementaci Úmluvy,</w:t>
      </w:r>
      <w:r w:rsidR="00817806" w:rsidRPr="00A21648">
        <w:rPr>
          <w:rStyle w:val="Znakapoznpodarou"/>
        </w:rPr>
        <w:footnoteReference w:id="5"/>
      </w:r>
      <w:r w:rsidRPr="009A417A">
        <w:t xml:space="preserve"> které se konalo dne </w:t>
      </w:r>
      <w:r w:rsidR="00817806">
        <w:t>11. prosince 202</w:t>
      </w:r>
      <w:r w:rsidRPr="009A417A">
        <w:t>4.</w:t>
      </w:r>
    </w:p>
    <w:p w14:paraId="2463AFCE" w14:textId="1FE9EF18" w:rsidR="005F0FB6" w:rsidRPr="00A21648" w:rsidRDefault="00C73CFE" w:rsidP="005F0FB6">
      <w:pPr>
        <w:pStyle w:val="Nadpispodsti"/>
        <w:spacing w:before="360"/>
        <w:rPr>
          <w:i/>
          <w:iCs/>
          <w:u w:val="none"/>
        </w:rPr>
      </w:pPr>
      <w:r w:rsidRPr="00A21648">
        <w:rPr>
          <w:i/>
          <w:iCs/>
          <w:u w:val="none"/>
        </w:rPr>
        <w:t>B</w:t>
      </w:r>
      <w:r w:rsidR="00AC3A5E" w:rsidRPr="00A21648">
        <w:rPr>
          <w:i/>
          <w:iCs/>
          <w:u w:val="none"/>
        </w:rPr>
        <w:t xml:space="preserve">. </w:t>
      </w:r>
      <w:r w:rsidR="00817806">
        <w:rPr>
          <w:i/>
          <w:iCs/>
          <w:u w:val="none"/>
        </w:rPr>
        <w:t>opatření vyžadovaná v českém právním řádu</w:t>
      </w:r>
    </w:p>
    <w:p w14:paraId="2A835364" w14:textId="40DB0B02" w:rsidR="00817806" w:rsidRPr="00A21648" w:rsidRDefault="00817806" w:rsidP="00AB2F7F">
      <w:pPr>
        <w:pStyle w:val="Textodstavce"/>
      </w:pPr>
      <w:r w:rsidRPr="00817806">
        <w:t xml:space="preserve">Z písemných konzultací, které </w:t>
      </w:r>
      <w:r>
        <w:t>kancelář vládního zmocněnce vedla</w:t>
      </w:r>
      <w:r w:rsidRPr="00817806">
        <w:t xml:space="preserve"> se všemi příslušnými orgány veřejné správy, jakož i z jednání na výše uvedeném zasedání </w:t>
      </w:r>
      <w:r>
        <w:t>Kolegia</w:t>
      </w:r>
      <w:r w:rsidRPr="00817806">
        <w:t xml:space="preserve"> expertů vyplynulo, že nejvhodnějším a nejdůraznějším způsobem, jak uvést rozsudek v plný účinek, by byla změna stávající české právní úpravy, zejména § 47 odst. 1 zákona o soudnictví ve věcech mládeže (viz § 76 rozsudku Soudu). Vzhledem k délce legislativního procesu a blížícímu se konci funkčního období současné Poslanecké sněmovny (říjen 2025) však nebude možné příslušnou novelu předložit dříve než v příštím roce.</w:t>
      </w:r>
    </w:p>
    <w:p w14:paraId="4D3A2A4F" w14:textId="051A7E80" w:rsidR="00817806" w:rsidRPr="00A21648" w:rsidRDefault="00817806" w:rsidP="00081ED9">
      <w:pPr>
        <w:pStyle w:val="Textodstavce"/>
      </w:pPr>
      <w:r w:rsidRPr="00817806">
        <w:t>Ještě předtím, než legislativní změna nabude účinnosti, bylo přijato několik opatření, jejichž cílem je implementovat rozsudek přímo do současné praxe soudů a státních zastupitelství.</w:t>
      </w:r>
    </w:p>
    <w:p w14:paraId="01702F85" w14:textId="5155442B" w:rsidR="00177F16" w:rsidRPr="00A21648" w:rsidRDefault="00817806" w:rsidP="00177F16">
      <w:pPr>
        <w:pStyle w:val="Textodstavce"/>
      </w:pPr>
      <w:r>
        <w:t xml:space="preserve">Zaprvé, zástupci kanceláře vládního zmocněnce projednali rozsudek Soudu v dané věci na školení nového webového portálu </w:t>
      </w:r>
      <w:hyperlink r:id="rId13" w:history="1">
        <w:r w:rsidR="00AB735D" w:rsidRPr="00A21648">
          <w:rPr>
            <w:rStyle w:val="Hypertextovodkaz"/>
          </w:rPr>
          <w:t>https://mezisoudy.cz/</w:t>
        </w:r>
      </w:hyperlink>
      <w:r w:rsidR="00AB735D" w:rsidRPr="00A21648">
        <w:rPr>
          <w:rStyle w:val="Hypertextovodkaz"/>
        </w:rPr>
        <w:t xml:space="preserve"> </w:t>
      </w:r>
      <w:r w:rsidR="00AB735D" w:rsidRPr="00A21648">
        <w:t>(</w:t>
      </w:r>
      <w:r>
        <w:t xml:space="preserve">viz také poznámka pod čarou č. </w:t>
      </w:r>
      <w:r w:rsidR="00AB735D" w:rsidRPr="00A21648">
        <w:t xml:space="preserve">3) </w:t>
      </w:r>
      <w:r>
        <w:t xml:space="preserve">pro Městské státní zastupitelství v Praze v říjnu </w:t>
      </w:r>
      <w:r w:rsidR="00704DA7" w:rsidRPr="00A21648">
        <w:t xml:space="preserve">2024, </w:t>
      </w:r>
      <w:r>
        <w:t xml:space="preserve">pro soudce Krajského soudu v Ústí nad Labem v únoru </w:t>
      </w:r>
      <w:r w:rsidR="00704DA7" w:rsidRPr="00A21648">
        <w:t xml:space="preserve">2025 and </w:t>
      </w:r>
      <w:r w:rsidR="00177F16">
        <w:t xml:space="preserve">pro soudce Krajského soudu v Liberci v březnu </w:t>
      </w:r>
      <w:r w:rsidR="00704DA7" w:rsidRPr="00A21648">
        <w:t xml:space="preserve">2025. </w:t>
      </w:r>
      <w:r w:rsidR="00177F16" w:rsidRPr="00817806">
        <w:t xml:space="preserve">Dále zástupci </w:t>
      </w:r>
      <w:r w:rsidR="00177F16">
        <w:lastRenderedPageBreak/>
        <w:t>kanceláře vládního zmocněnce</w:t>
      </w:r>
      <w:r w:rsidR="00177F16" w:rsidRPr="00817806">
        <w:t xml:space="preserve"> diskutovali o rozsudku </w:t>
      </w:r>
      <w:r w:rsidR="00177F16">
        <w:t xml:space="preserve">Soudu </w:t>
      </w:r>
      <w:r w:rsidR="00177F16" w:rsidRPr="00817806">
        <w:t>v projednávané věci v rámci přednášky pro české trestní soudce v říjnu 2024</w:t>
      </w:r>
      <w:r w:rsidR="00177F16">
        <w:t>,</w:t>
      </w:r>
      <w:r w:rsidR="00177F16" w:rsidRPr="00817806">
        <w:t xml:space="preserve"> a plánují se touto problematikou dále zabývat v</w:t>
      </w:r>
      <w:r w:rsidR="00177F16">
        <w:t> </w:t>
      </w:r>
      <w:r w:rsidR="00177F16" w:rsidRPr="00817806">
        <w:t>rámci pravidelného školení pro soudce zajišťovaného pod záštitou Justiční akademie.</w:t>
      </w:r>
    </w:p>
    <w:p w14:paraId="33AA5CCD" w14:textId="65D38594" w:rsidR="00177F16" w:rsidRPr="00A21648" w:rsidRDefault="00177F16" w:rsidP="00B62AAD">
      <w:pPr>
        <w:pStyle w:val="Textodstavce"/>
      </w:pPr>
      <w:r w:rsidRPr="00177F16">
        <w:t xml:space="preserve">Jak bylo uvedeno výše, Nejvyšší státní zastupitelství vložilo český překlad rozsudku a jeho shrnutí do své interní databáze a informovalo o něm v bulletinu rozesílaném všem českým státním zástupcům. V bulletinu z července 2024 doporučilo Nejvyšší státní zastupitelství státním zástupcům, aby každé tři měsíce, tj. v souladu s rozsudkem v dané věci (a nikoliv každých šest měsíců jako dosud), podávali soudu návrh na přezkoumání zákonnosti </w:t>
      </w:r>
      <w:r>
        <w:t>vyšetřovací</w:t>
      </w:r>
      <w:r w:rsidRPr="00177F16">
        <w:t xml:space="preserve"> vazby všech obviněných mladistvých ze zvlášť závažného </w:t>
      </w:r>
      <w:r>
        <w:t>provinění</w:t>
      </w:r>
      <w:r w:rsidRPr="00177F16">
        <w:t>.</w:t>
      </w:r>
    </w:p>
    <w:p w14:paraId="3A5AFF8D" w14:textId="70DD1DBD" w:rsidR="00177F16" w:rsidRPr="00A21648" w:rsidRDefault="00177F16" w:rsidP="003D22B4">
      <w:pPr>
        <w:pStyle w:val="Textodstavce"/>
      </w:pPr>
      <w:r w:rsidRPr="00177F16">
        <w:t>V neposlední řadě byli o rozsudku informováni také všichni soudci Ústavního soudu a Nejvyššího soudu. Nejvyšší soud na</w:t>
      </w:r>
      <w:r>
        <w:t>dto</w:t>
      </w:r>
      <w:r w:rsidRPr="00177F16">
        <w:t xml:space="preserve"> s ohledem na závažnost zjištěného porušení Úmluvy učinil poměrně výjimečný krok, když rozsudek předal trestním oddělením všech krajských soudů oficiálním dopisem předsedy Nejvyššího soudu s komentářem k rozsudku Soudu a důsledky rozsudku Soudu pro soudní praxi. </w:t>
      </w:r>
      <w:r>
        <w:t xml:space="preserve">Konečně </w:t>
      </w:r>
      <w:r w:rsidRPr="00177F16">
        <w:t>byl odkaz na překlad rozsudku spolu s komentářem k rozsudku od zkušené</w:t>
      </w:r>
      <w:r>
        <w:t xml:space="preserve"> trestní soudkyně</w:t>
      </w:r>
      <w:r w:rsidRPr="00177F16">
        <w:t xml:space="preserve"> Nejvyššího soudu zveřejněn ve sborníku Nejvyššího soudu </w:t>
      </w:r>
      <w:hyperlink r:id="rId14" w:history="1">
        <w:r w:rsidRPr="00177F16">
          <w:rPr>
            <w:rStyle w:val="Hypertextovodkaz"/>
          </w:rPr>
          <w:t xml:space="preserve">„Výběr z </w:t>
        </w:r>
        <w:r w:rsidRPr="00177F16">
          <w:rPr>
            <w:rStyle w:val="Hypertextovodkaz"/>
          </w:rPr>
          <w:t>rozhodnutí</w:t>
        </w:r>
        <w:r w:rsidRPr="00177F16">
          <w:rPr>
            <w:rStyle w:val="Hypertextovodkaz"/>
          </w:rPr>
          <w:t xml:space="preserve"> Evropského soudu pro lidská práva pro </w:t>
        </w:r>
        <w:r w:rsidRPr="00177F16">
          <w:rPr>
            <w:rStyle w:val="Hypertextovodkaz"/>
          </w:rPr>
          <w:t>justiční</w:t>
        </w:r>
        <w:r w:rsidRPr="00177F16">
          <w:rPr>
            <w:rStyle w:val="Hypertextovodkaz"/>
          </w:rPr>
          <w:t xml:space="preserve"> praxi“</w:t>
        </w:r>
      </w:hyperlink>
      <w:r w:rsidRPr="00177F16">
        <w:t xml:space="preserve"> č.</w:t>
      </w:r>
      <w:r>
        <w:t> </w:t>
      </w:r>
      <w:r w:rsidRPr="00177F16">
        <w:t xml:space="preserve">1/2025. </w:t>
      </w:r>
      <w:r>
        <w:t>Sborník</w:t>
      </w:r>
      <w:r w:rsidRPr="00177F16">
        <w:t xml:space="preserve"> je v rámci soudnictví známým a uznávaným periodikem. </w:t>
      </w:r>
      <w:r>
        <w:t>Sborník</w:t>
      </w:r>
      <w:r w:rsidRPr="00177F16">
        <w:t xml:space="preserve"> je připravován v úzké spolupráci se soudci Nejvyššího soudu, vládním zmocněncem a analytickým a komparativním oddělením Nejvyššího soudu. Cílem je zvýšit informovanost v rámci justice o</w:t>
      </w:r>
      <w:r w:rsidR="00757588">
        <w:t> </w:t>
      </w:r>
      <w:r>
        <w:t xml:space="preserve">aktuálních </w:t>
      </w:r>
      <w:r w:rsidRPr="00177F16">
        <w:t>rozsudcích Soud</w:t>
      </w:r>
      <w:r>
        <w:t>u</w:t>
      </w:r>
      <w:r w:rsidRPr="00177F16">
        <w:t>. Komentář k předmětnému rozsudku nastiňuje závěry Soudu a zdůrazňuje, že současnou praxi vnitrostátních soudů je třeba změnit v souladu se závěry Soudu. Uvádí se v něm také, že dřívější judikatura Nejvyššího soudu, která schvalovala šestiměsíční lhůtu přezkumu vazby, již nesmí být používána a odkazována.</w:t>
      </w:r>
    </w:p>
    <w:p w14:paraId="2BCB7DFB" w14:textId="2704F64B" w:rsidR="00AF3177" w:rsidRPr="00A21648" w:rsidRDefault="00AF3177">
      <w:pPr>
        <w:pStyle w:val="Nadpissti"/>
      </w:pPr>
      <w:r w:rsidRPr="00A21648">
        <w:t xml:space="preserve">III. </w:t>
      </w:r>
      <w:r w:rsidR="009A417A">
        <w:t>závěr</w:t>
      </w:r>
    </w:p>
    <w:p w14:paraId="5A847845" w14:textId="359AD688" w:rsidR="009A417A" w:rsidRPr="00A21648" w:rsidRDefault="009A417A" w:rsidP="005E5AA5">
      <w:pPr>
        <w:pStyle w:val="Textodstavce"/>
      </w:pPr>
      <w:r w:rsidRPr="009A417A">
        <w:t xml:space="preserve">Vláda České republiky bude pokračovat v úsilí o výkon rozsudku podle výše stanoveného akčního plánu a do </w:t>
      </w:r>
      <w:r>
        <w:t>31. března 2026</w:t>
      </w:r>
      <w:r w:rsidRPr="009A417A">
        <w:t xml:space="preserve"> předloží Výboru ministrů buď aktuální informace o</w:t>
      </w:r>
      <w:r w:rsidR="00757588">
        <w:t> </w:t>
      </w:r>
      <w:r w:rsidRPr="009A417A">
        <w:t xml:space="preserve">dalším vývoji, nebo </w:t>
      </w:r>
      <w:r w:rsidR="00757588">
        <w:t>akční zprávu</w:t>
      </w:r>
      <w:r w:rsidRPr="009A417A">
        <w:t>.</w:t>
      </w:r>
    </w:p>
    <w:p w14:paraId="592C1F9B" w14:textId="77777777" w:rsidR="008A0DAF" w:rsidRPr="00A21648" w:rsidRDefault="008A0DAF" w:rsidP="00601505">
      <w:pPr>
        <w:pStyle w:val="Textodstavce"/>
      </w:pPr>
    </w:p>
    <w:p w14:paraId="46B37C07" w14:textId="77777777" w:rsidR="00CC7591" w:rsidRPr="00A21648" w:rsidRDefault="00CC7591" w:rsidP="00601505">
      <w:pPr>
        <w:pStyle w:val="Textodstavce"/>
      </w:pPr>
    </w:p>
    <w:sectPr w:rsidR="00CC7591" w:rsidRPr="00A21648">
      <w:footerReference w:type="even" r:id="rId15"/>
      <w:footerReference w:type="default" r:id="rId16"/>
      <w:pgSz w:w="11906" w:h="16838"/>
      <w:pgMar w:top="1417" w:right="1417" w:bottom="1417" w:left="1417"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028CC" w14:textId="77777777" w:rsidR="008705CD" w:rsidRDefault="008705CD">
      <w:r>
        <w:separator/>
      </w:r>
    </w:p>
  </w:endnote>
  <w:endnote w:type="continuationSeparator" w:id="0">
    <w:p w14:paraId="31AB9AEF" w14:textId="77777777" w:rsidR="008705CD" w:rsidRDefault="00870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13B3C" w14:textId="77777777" w:rsidR="008A0DAF" w:rsidRDefault="008A0DAF">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2F3A53F9" w14:textId="77777777" w:rsidR="008A0DAF" w:rsidRDefault="008A0DA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EFA66" w14:textId="7698038A" w:rsidR="008A0DAF" w:rsidRDefault="008A0DAF">
    <w:pPr>
      <w:pStyle w:val="Zpat"/>
      <w:jc w:val="center"/>
    </w:pPr>
    <w:r>
      <w:t xml:space="preserve">— </w:t>
    </w:r>
    <w:r>
      <w:rPr>
        <w:rStyle w:val="slostrnky"/>
      </w:rPr>
      <w:fldChar w:fldCharType="begin"/>
    </w:r>
    <w:r>
      <w:rPr>
        <w:rStyle w:val="slostrnky"/>
      </w:rPr>
      <w:instrText xml:space="preserve"> PAGE </w:instrText>
    </w:r>
    <w:r>
      <w:rPr>
        <w:rStyle w:val="slostrnky"/>
      </w:rPr>
      <w:fldChar w:fldCharType="separate"/>
    </w:r>
    <w:r w:rsidR="00CF353A">
      <w:rPr>
        <w:rStyle w:val="slostrnky"/>
        <w:noProof/>
      </w:rPr>
      <w:t>3</w:t>
    </w:r>
    <w:r>
      <w:rPr>
        <w:rStyle w:val="slostrnky"/>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C5CC8" w14:textId="77777777" w:rsidR="008705CD" w:rsidRDefault="008705CD">
      <w:r>
        <w:separator/>
      </w:r>
    </w:p>
  </w:footnote>
  <w:footnote w:type="continuationSeparator" w:id="0">
    <w:p w14:paraId="16D63650" w14:textId="77777777" w:rsidR="008705CD" w:rsidRDefault="008705CD">
      <w:r>
        <w:continuationSeparator/>
      </w:r>
    </w:p>
  </w:footnote>
  <w:footnote w:id="1">
    <w:p w14:paraId="2C72415E" w14:textId="77777777" w:rsidR="00A21648" w:rsidRPr="00A21648" w:rsidRDefault="00A21648" w:rsidP="00A21648">
      <w:pPr>
        <w:pStyle w:val="Textpoznpodarou"/>
        <w:spacing w:after="120"/>
        <w:jc w:val="both"/>
      </w:pPr>
      <w:r w:rsidRPr="006B7918">
        <w:rPr>
          <w:rStyle w:val="Znakapoznpodarou"/>
          <w:lang w:val="en-GB"/>
        </w:rPr>
        <w:footnoteRef/>
      </w:r>
      <w:r w:rsidRPr="006B7918">
        <w:rPr>
          <w:lang w:val="en-GB"/>
        </w:rPr>
        <w:t xml:space="preserve"> </w:t>
      </w:r>
      <w:r w:rsidRPr="00A21648">
        <w:t>Podrobnosti o platbě jsou k dispozici na vyžádání v Kanceláři vládního zmocněnce</w:t>
      </w:r>
    </w:p>
  </w:footnote>
  <w:footnote w:id="2">
    <w:p w14:paraId="50BD848A" w14:textId="77777777" w:rsidR="00A21648" w:rsidRPr="00A21648" w:rsidRDefault="00A21648" w:rsidP="00A21648">
      <w:pPr>
        <w:pStyle w:val="Default"/>
        <w:spacing w:after="120"/>
        <w:jc w:val="both"/>
        <w:rPr>
          <w:sz w:val="20"/>
          <w:szCs w:val="20"/>
        </w:rPr>
      </w:pPr>
      <w:r w:rsidRPr="00A21648">
        <w:rPr>
          <w:rStyle w:val="Znakapoznpodarou"/>
          <w:sz w:val="20"/>
          <w:szCs w:val="20"/>
        </w:rPr>
        <w:footnoteRef/>
      </w:r>
      <w:r w:rsidRPr="00A21648">
        <w:rPr>
          <w:sz w:val="20"/>
          <w:szCs w:val="20"/>
        </w:rPr>
        <w:t xml:space="preserve"> Ustanovení § 119 zákona o Ústavním soudu ve znění zákona č. 404/2012 Sb. mimo jiné stanoví, že pokud Ústavní soud již dříve rozhodl ve věci, v níž mezinárodní soud shledal porušení lidských práv nebo základních svobod zaručených mezinárodní smlouvou, je možné podat návrh na obnovu řízení, v němž bylo rozhodnutí vydáno. Ustanovení § 119b mimo jiné stanoví, že pokud byl předchozí rozsudek Ústavního soudu (nález) v rozporu s rozhodnutím přijatým mezinárodním soudem, musí být zrušen. Zruší-li Ústavní soud svůj nález, zabývá se znovu původní ústavní stížností a nový nález by měl vycházet z právního názoru mezinárodního soudu.</w:t>
      </w:r>
    </w:p>
  </w:footnote>
  <w:footnote w:id="3">
    <w:p w14:paraId="4E8BF5BF" w14:textId="7946A077" w:rsidR="009A417A" w:rsidRPr="00817806" w:rsidRDefault="009A417A" w:rsidP="009A417A">
      <w:pPr>
        <w:pStyle w:val="Textpoznpodarou"/>
        <w:spacing w:after="120"/>
        <w:jc w:val="both"/>
      </w:pPr>
      <w:r w:rsidRPr="006B7918">
        <w:rPr>
          <w:rStyle w:val="Znakapoznpodarou"/>
          <w:lang w:val="en-GB"/>
        </w:rPr>
        <w:footnoteRef/>
      </w:r>
      <w:r>
        <w:rPr>
          <w:lang w:val="en-GB"/>
        </w:rPr>
        <w:t xml:space="preserve"> </w:t>
      </w:r>
      <w:r w:rsidRPr="00817806">
        <w:t xml:space="preserve">V červnu 2024 </w:t>
      </w:r>
      <w:r w:rsidRPr="00817806">
        <w:t>M</w:t>
      </w:r>
      <w:r w:rsidR="00817806" w:rsidRPr="00817806">
        <w:t>i</w:t>
      </w:r>
      <w:r w:rsidRPr="00817806">
        <w:t>nisterstvo spravedlnosti oficiálně spustilo nové webové stránky (</w:t>
      </w:r>
      <w:hyperlink r:id="rId1" w:history="1">
        <w:r w:rsidRPr="00817806">
          <w:rPr>
            <w:rStyle w:val="Hypertextovodkaz"/>
          </w:rPr>
          <w:t>https://mezisoudy.cz/</w:t>
        </w:r>
      </w:hyperlink>
      <w:r w:rsidRPr="00817806">
        <w:t>) věnované mezinárodní ochraně lidských práv. Webové stránky provozuje Kancelář vládního zmocněnce. Jejich součástí je databáze, která umožňuje přístup k judikatuře Soudu. Databáze obsahuje všechny rozsudky Soudu v</w:t>
      </w:r>
      <w:r w:rsidRPr="00817806">
        <w:t xml:space="preserve"> </w:t>
      </w:r>
      <w:r w:rsidRPr="00817806">
        <w:t>jazyce, v němž je Soud vydal. Nad to databáze obsahuje překlady všech rozsudků Soudu proti České republice, stovky překladů nejdůležitějších rozsudků Soudu vydaných proti jiným státům a více než 1 700 právních shrnutí dalších relevantních a významných rozsudků a rozhodnutí Soudu sepsaných v českém jazyce. Databáze rovněž propojuje judikaturu Soudu s judikaturou Ústavního soudu ČR a judikaturou Evropského výboru pro sociální práva a smluvních orgánů OSN.</w:t>
      </w:r>
    </w:p>
  </w:footnote>
  <w:footnote w:id="4">
    <w:p w14:paraId="741CC666" w14:textId="2BEAFFB7" w:rsidR="009A417A" w:rsidRPr="00817806" w:rsidRDefault="009A417A" w:rsidP="009A417A">
      <w:pPr>
        <w:pStyle w:val="Textpoznpodarou"/>
        <w:spacing w:after="120"/>
        <w:jc w:val="both"/>
      </w:pPr>
      <w:r w:rsidRPr="00817806">
        <w:rPr>
          <w:rStyle w:val="Znakapoznpodarou"/>
        </w:rPr>
        <w:footnoteRef/>
      </w:r>
      <w:r w:rsidRPr="00817806">
        <w:t xml:space="preserve"> </w:t>
      </w:r>
      <w:r w:rsidR="00817806" w:rsidRPr="00817806">
        <w:t>Zpravodaj vládního zmocněnce je dostupný z</w:t>
      </w:r>
      <w:r w:rsidRPr="00817806">
        <w:t xml:space="preserve">: </w:t>
      </w:r>
      <w:hyperlink r:id="rId2" w:history="1">
        <w:r w:rsidRPr="00817806">
          <w:rPr>
            <w:rStyle w:val="Hypertextovodkaz"/>
          </w:rPr>
          <w:t>https://mezisoudy.cz/zpravodaj-kvz</w:t>
        </w:r>
      </w:hyperlink>
      <w:r w:rsidRPr="00817806">
        <w:t xml:space="preserve">. </w:t>
      </w:r>
    </w:p>
  </w:footnote>
  <w:footnote w:id="5">
    <w:p w14:paraId="5BD358F9" w14:textId="00F07F7B" w:rsidR="00817806" w:rsidRPr="00817806" w:rsidRDefault="00817806" w:rsidP="00817806">
      <w:pPr>
        <w:pStyle w:val="Textpoznpodarou"/>
        <w:spacing w:after="120"/>
        <w:jc w:val="both"/>
      </w:pPr>
      <w:r w:rsidRPr="00817806">
        <w:rPr>
          <w:rStyle w:val="Znakapoznpodarou"/>
        </w:rPr>
        <w:footnoteRef/>
      </w:r>
      <w:r w:rsidRPr="00817806">
        <w:t xml:space="preserve"> Je zřízeno v návaznosti na závazek posílit implementaci Úmluvy na vnitrostátní úrovni, na němž se smluvní strany Úmluvy dohodly na konferenci "Provádění Evropské úmluvy o lidských právech, naše společná odpovědnost" dne 27. března 2015, a je poradním orgánem vládního zmocněnce, který slouží jako fórum pro analýzu a formulaci doporučení orgánům, pokud jde o vhodná opatření, která mají být přijata za účelem provádění rozsudků Soudu. Je složen ze zástupců všech ministerstev, obou komor parlamentu, nejvyšších soudů, Nejvyššího státního zastupitelství, Kanceláře veřejného ochránce práv, akademických pracovníků a členů různých nevládních organizací působících v oblasti základních lidských práv.</w:t>
      </w:r>
      <w:r w:rsidRPr="00817806">
        <w:t xml:space="preserve"> Více informací o složení, mandátu a činnosti Kolegia lze získat z: </w:t>
      </w:r>
      <w:hyperlink r:id="rId3" w:history="1">
        <w:r w:rsidRPr="00817806">
          <w:rPr>
            <w:rStyle w:val="Hypertextovodkaz"/>
          </w:rPr>
          <w:t>https://mezisoudy.cz/vykon-rozsudku-eslp-a-rozhodnuti-dalsich-mezinarodnich-lidskopravnich-organu/kolegium-expertu-pro-vykon-rozsudku</w:t>
        </w:r>
      </w:hyperlink>
      <w:r w:rsidRPr="00817806">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822D9"/>
    <w:multiLevelType w:val="hybridMultilevel"/>
    <w:tmpl w:val="496C29B2"/>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1" w15:restartNumberingAfterBreak="0">
    <w:nsid w:val="248A72EE"/>
    <w:multiLevelType w:val="hybridMultilevel"/>
    <w:tmpl w:val="AF780C98"/>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2" w15:restartNumberingAfterBreak="0">
    <w:nsid w:val="38733FED"/>
    <w:multiLevelType w:val="hybridMultilevel"/>
    <w:tmpl w:val="468A7712"/>
    <w:lvl w:ilvl="0" w:tplc="781E91A0">
      <w:start w:val="1"/>
      <w:numFmt w:val="decimal"/>
      <w:pStyle w:val="Stanovisko-text"/>
      <w:lvlText w:val="%1."/>
      <w:lvlJc w:val="left"/>
      <w:pPr>
        <w:tabs>
          <w:tab w:val="num" w:pos="644"/>
        </w:tabs>
        <w:ind w:left="0" w:firstLine="284"/>
      </w:pPr>
      <w:rPr>
        <w:rFonts w:hint="default"/>
        <w:i w:val="0"/>
      </w:rPr>
    </w:lvl>
    <w:lvl w:ilvl="1" w:tplc="16F2CA20">
      <w:start w:val="1"/>
      <w:numFmt w:val="upperLetter"/>
      <w:lvlText w:val="%2."/>
      <w:lvlJc w:val="left"/>
      <w:pPr>
        <w:tabs>
          <w:tab w:val="num" w:pos="1440"/>
        </w:tabs>
        <w:ind w:left="1440" w:hanging="360"/>
      </w:pPr>
      <w:rPr>
        <w:rFonts w:hint="default"/>
      </w:rPr>
    </w:lvl>
    <w:lvl w:ilvl="2" w:tplc="F1000DDC">
      <w:start w:val="1"/>
      <w:numFmt w:val="bullet"/>
      <w:lvlText w:val="-"/>
      <w:lvlJc w:val="left"/>
      <w:pPr>
        <w:tabs>
          <w:tab w:val="num" w:pos="2340"/>
        </w:tabs>
        <w:ind w:left="2340" w:hanging="360"/>
      </w:pPr>
      <w:rPr>
        <w:rFonts w:ascii="Times New Roman" w:eastAsia="Times New Roman" w:hAnsi="Times New Roman" w:cs="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47F65B2D"/>
    <w:multiLevelType w:val="hybridMultilevel"/>
    <w:tmpl w:val="4B0EC67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4" w15:restartNumberingAfterBreak="0">
    <w:nsid w:val="5FDA0409"/>
    <w:multiLevelType w:val="hybridMultilevel"/>
    <w:tmpl w:val="E63E8368"/>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5" w15:restartNumberingAfterBreak="0">
    <w:nsid w:val="6D16338F"/>
    <w:multiLevelType w:val="hybridMultilevel"/>
    <w:tmpl w:val="A318671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864172186">
    <w:abstractNumId w:val="1"/>
  </w:num>
  <w:num w:numId="2" w16cid:durableId="1938369366">
    <w:abstractNumId w:val="3"/>
  </w:num>
  <w:num w:numId="3" w16cid:durableId="1341935520">
    <w:abstractNumId w:val="5"/>
  </w:num>
  <w:num w:numId="4" w16cid:durableId="147483679">
    <w:abstractNumId w:val="4"/>
  </w:num>
  <w:num w:numId="5" w16cid:durableId="925840900">
    <w:abstractNumId w:val="2"/>
  </w:num>
  <w:num w:numId="6" w16cid:durableId="13838640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autoHyphenation/>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28E3"/>
    <w:rsid w:val="0000296A"/>
    <w:rsid w:val="00033AB8"/>
    <w:rsid w:val="00034F60"/>
    <w:rsid w:val="00035B28"/>
    <w:rsid w:val="00040011"/>
    <w:rsid w:val="0004395D"/>
    <w:rsid w:val="00045D70"/>
    <w:rsid w:val="00045F7A"/>
    <w:rsid w:val="0004701D"/>
    <w:rsid w:val="00062676"/>
    <w:rsid w:val="000676F0"/>
    <w:rsid w:val="0007253E"/>
    <w:rsid w:val="00080262"/>
    <w:rsid w:val="000805F7"/>
    <w:rsid w:val="00081ED9"/>
    <w:rsid w:val="00083A29"/>
    <w:rsid w:val="00084BF3"/>
    <w:rsid w:val="000910F0"/>
    <w:rsid w:val="000928E3"/>
    <w:rsid w:val="000B04F0"/>
    <w:rsid w:val="000B3112"/>
    <w:rsid w:val="000C5F0A"/>
    <w:rsid w:val="000D5CDD"/>
    <w:rsid w:val="000F1648"/>
    <w:rsid w:val="000F50A5"/>
    <w:rsid w:val="00106F7D"/>
    <w:rsid w:val="001144CE"/>
    <w:rsid w:val="001320E9"/>
    <w:rsid w:val="001430D5"/>
    <w:rsid w:val="00155D59"/>
    <w:rsid w:val="00157FA4"/>
    <w:rsid w:val="00163FCE"/>
    <w:rsid w:val="00177F16"/>
    <w:rsid w:val="00186617"/>
    <w:rsid w:val="00190D85"/>
    <w:rsid w:val="00193392"/>
    <w:rsid w:val="00195B9F"/>
    <w:rsid w:val="00197CFB"/>
    <w:rsid w:val="001A1361"/>
    <w:rsid w:val="001B4DF5"/>
    <w:rsid w:val="001C1FE2"/>
    <w:rsid w:val="001C508D"/>
    <w:rsid w:val="001C7743"/>
    <w:rsid w:val="001D0D29"/>
    <w:rsid w:val="001D0EC9"/>
    <w:rsid w:val="001E13DB"/>
    <w:rsid w:val="001E3B78"/>
    <w:rsid w:val="001F2A97"/>
    <w:rsid w:val="0020559D"/>
    <w:rsid w:val="002110D3"/>
    <w:rsid w:val="00215066"/>
    <w:rsid w:val="00221F58"/>
    <w:rsid w:val="00225F18"/>
    <w:rsid w:val="002357A6"/>
    <w:rsid w:val="002357C9"/>
    <w:rsid w:val="002603EC"/>
    <w:rsid w:val="00260BFF"/>
    <w:rsid w:val="0026288C"/>
    <w:rsid w:val="00287B11"/>
    <w:rsid w:val="00297CAE"/>
    <w:rsid w:val="002A58CD"/>
    <w:rsid w:val="002B057C"/>
    <w:rsid w:val="002B0869"/>
    <w:rsid w:val="002B2115"/>
    <w:rsid w:val="002B6F8A"/>
    <w:rsid w:val="002C04DD"/>
    <w:rsid w:val="002C1F01"/>
    <w:rsid w:val="002C74F9"/>
    <w:rsid w:val="002D0658"/>
    <w:rsid w:val="002D0DB7"/>
    <w:rsid w:val="002E7876"/>
    <w:rsid w:val="0030061A"/>
    <w:rsid w:val="00300776"/>
    <w:rsid w:val="00326887"/>
    <w:rsid w:val="003435D7"/>
    <w:rsid w:val="0035744C"/>
    <w:rsid w:val="00372925"/>
    <w:rsid w:val="003741C0"/>
    <w:rsid w:val="003871CD"/>
    <w:rsid w:val="00390030"/>
    <w:rsid w:val="00391F45"/>
    <w:rsid w:val="00393E1F"/>
    <w:rsid w:val="003949AF"/>
    <w:rsid w:val="003A4747"/>
    <w:rsid w:val="003B5EAF"/>
    <w:rsid w:val="003D22B4"/>
    <w:rsid w:val="00401B97"/>
    <w:rsid w:val="00407225"/>
    <w:rsid w:val="0041431E"/>
    <w:rsid w:val="00414602"/>
    <w:rsid w:val="00415FB3"/>
    <w:rsid w:val="0042550B"/>
    <w:rsid w:val="00432962"/>
    <w:rsid w:val="004341DF"/>
    <w:rsid w:val="00446244"/>
    <w:rsid w:val="004554F1"/>
    <w:rsid w:val="004578AF"/>
    <w:rsid w:val="004600EC"/>
    <w:rsid w:val="00463B41"/>
    <w:rsid w:val="00466B55"/>
    <w:rsid w:val="004877C6"/>
    <w:rsid w:val="00495F5C"/>
    <w:rsid w:val="004A1AA8"/>
    <w:rsid w:val="004B30A2"/>
    <w:rsid w:val="004B792B"/>
    <w:rsid w:val="004C37DC"/>
    <w:rsid w:val="004C604A"/>
    <w:rsid w:val="004E709C"/>
    <w:rsid w:val="004F5B2B"/>
    <w:rsid w:val="00501EFF"/>
    <w:rsid w:val="005103CB"/>
    <w:rsid w:val="00513080"/>
    <w:rsid w:val="00524D8D"/>
    <w:rsid w:val="005318E8"/>
    <w:rsid w:val="00554EAD"/>
    <w:rsid w:val="005554ED"/>
    <w:rsid w:val="0055696B"/>
    <w:rsid w:val="00560F12"/>
    <w:rsid w:val="00571000"/>
    <w:rsid w:val="005768EA"/>
    <w:rsid w:val="00577509"/>
    <w:rsid w:val="005823F4"/>
    <w:rsid w:val="00593E3E"/>
    <w:rsid w:val="005974D7"/>
    <w:rsid w:val="005A5D82"/>
    <w:rsid w:val="005B4CA1"/>
    <w:rsid w:val="005D5FBF"/>
    <w:rsid w:val="005E2BD4"/>
    <w:rsid w:val="005E5AA5"/>
    <w:rsid w:val="005F0FB6"/>
    <w:rsid w:val="005F4EDC"/>
    <w:rsid w:val="00601505"/>
    <w:rsid w:val="006036F8"/>
    <w:rsid w:val="0061023B"/>
    <w:rsid w:val="006127D7"/>
    <w:rsid w:val="0062057A"/>
    <w:rsid w:val="00625985"/>
    <w:rsid w:val="00631D55"/>
    <w:rsid w:val="00634A4E"/>
    <w:rsid w:val="00636187"/>
    <w:rsid w:val="00637052"/>
    <w:rsid w:val="006374E7"/>
    <w:rsid w:val="006413AA"/>
    <w:rsid w:val="006432AD"/>
    <w:rsid w:val="00655F6A"/>
    <w:rsid w:val="006628F3"/>
    <w:rsid w:val="006654DA"/>
    <w:rsid w:val="00665FB0"/>
    <w:rsid w:val="00674CE5"/>
    <w:rsid w:val="00676EAB"/>
    <w:rsid w:val="006A1DD1"/>
    <w:rsid w:val="006A2BA3"/>
    <w:rsid w:val="006B5683"/>
    <w:rsid w:val="006B7918"/>
    <w:rsid w:val="006C45F0"/>
    <w:rsid w:val="006D6A07"/>
    <w:rsid w:val="006E0DE6"/>
    <w:rsid w:val="006F1E64"/>
    <w:rsid w:val="006F512E"/>
    <w:rsid w:val="00704DA7"/>
    <w:rsid w:val="0070589C"/>
    <w:rsid w:val="00713B8B"/>
    <w:rsid w:val="007241D5"/>
    <w:rsid w:val="00735E7A"/>
    <w:rsid w:val="0074706E"/>
    <w:rsid w:val="00757588"/>
    <w:rsid w:val="00760673"/>
    <w:rsid w:val="00780E5A"/>
    <w:rsid w:val="007860EA"/>
    <w:rsid w:val="007946A3"/>
    <w:rsid w:val="007B2C21"/>
    <w:rsid w:val="007B3BBB"/>
    <w:rsid w:val="007B7221"/>
    <w:rsid w:val="007C7262"/>
    <w:rsid w:val="007D61F4"/>
    <w:rsid w:val="007D749C"/>
    <w:rsid w:val="007D7ABB"/>
    <w:rsid w:val="007E79E1"/>
    <w:rsid w:val="007F1AB7"/>
    <w:rsid w:val="00800F9C"/>
    <w:rsid w:val="0080464E"/>
    <w:rsid w:val="00811C94"/>
    <w:rsid w:val="00817806"/>
    <w:rsid w:val="00823F3E"/>
    <w:rsid w:val="00826BA0"/>
    <w:rsid w:val="00841857"/>
    <w:rsid w:val="008529D7"/>
    <w:rsid w:val="008566F0"/>
    <w:rsid w:val="008671BA"/>
    <w:rsid w:val="008705CD"/>
    <w:rsid w:val="008727D0"/>
    <w:rsid w:val="00883446"/>
    <w:rsid w:val="00885A90"/>
    <w:rsid w:val="00894CCD"/>
    <w:rsid w:val="008A0DAF"/>
    <w:rsid w:val="008A5B53"/>
    <w:rsid w:val="008A5B99"/>
    <w:rsid w:val="008A5E5E"/>
    <w:rsid w:val="008A7B99"/>
    <w:rsid w:val="008F6B38"/>
    <w:rsid w:val="00902F00"/>
    <w:rsid w:val="0092593D"/>
    <w:rsid w:val="0093788D"/>
    <w:rsid w:val="00963D0E"/>
    <w:rsid w:val="00967986"/>
    <w:rsid w:val="009841E3"/>
    <w:rsid w:val="00991798"/>
    <w:rsid w:val="00991FAE"/>
    <w:rsid w:val="00994C75"/>
    <w:rsid w:val="0099601E"/>
    <w:rsid w:val="009A006B"/>
    <w:rsid w:val="009A22A0"/>
    <w:rsid w:val="009A417A"/>
    <w:rsid w:val="009B2FDC"/>
    <w:rsid w:val="009B44A0"/>
    <w:rsid w:val="009C20C7"/>
    <w:rsid w:val="009C3CA9"/>
    <w:rsid w:val="009C6622"/>
    <w:rsid w:val="009D1711"/>
    <w:rsid w:val="009E07FE"/>
    <w:rsid w:val="00A05109"/>
    <w:rsid w:val="00A10695"/>
    <w:rsid w:val="00A15A22"/>
    <w:rsid w:val="00A21648"/>
    <w:rsid w:val="00A25988"/>
    <w:rsid w:val="00A30046"/>
    <w:rsid w:val="00A347F9"/>
    <w:rsid w:val="00A362D9"/>
    <w:rsid w:val="00A378FC"/>
    <w:rsid w:val="00A37E82"/>
    <w:rsid w:val="00A57CA5"/>
    <w:rsid w:val="00A74702"/>
    <w:rsid w:val="00AB06F6"/>
    <w:rsid w:val="00AB1570"/>
    <w:rsid w:val="00AB2F7F"/>
    <w:rsid w:val="00AB317E"/>
    <w:rsid w:val="00AB5038"/>
    <w:rsid w:val="00AB735D"/>
    <w:rsid w:val="00AC3A5E"/>
    <w:rsid w:val="00AC6FF4"/>
    <w:rsid w:val="00AE7A58"/>
    <w:rsid w:val="00AF2579"/>
    <w:rsid w:val="00AF3177"/>
    <w:rsid w:val="00AF49BE"/>
    <w:rsid w:val="00B02189"/>
    <w:rsid w:val="00B10A5C"/>
    <w:rsid w:val="00B113E3"/>
    <w:rsid w:val="00B15810"/>
    <w:rsid w:val="00B178F5"/>
    <w:rsid w:val="00B30642"/>
    <w:rsid w:val="00B316B0"/>
    <w:rsid w:val="00B44811"/>
    <w:rsid w:val="00B52258"/>
    <w:rsid w:val="00B57F1A"/>
    <w:rsid w:val="00B60BAA"/>
    <w:rsid w:val="00B613EC"/>
    <w:rsid w:val="00B62594"/>
    <w:rsid w:val="00B62AAD"/>
    <w:rsid w:val="00B759A0"/>
    <w:rsid w:val="00BA200A"/>
    <w:rsid w:val="00BA2E15"/>
    <w:rsid w:val="00BB26F4"/>
    <w:rsid w:val="00BD6185"/>
    <w:rsid w:val="00BE34B2"/>
    <w:rsid w:val="00BE6094"/>
    <w:rsid w:val="00BE6E9F"/>
    <w:rsid w:val="00BF0180"/>
    <w:rsid w:val="00BF31BA"/>
    <w:rsid w:val="00C001AF"/>
    <w:rsid w:val="00C0063E"/>
    <w:rsid w:val="00C007C2"/>
    <w:rsid w:val="00C0779A"/>
    <w:rsid w:val="00C10B5F"/>
    <w:rsid w:val="00C256E7"/>
    <w:rsid w:val="00C4192A"/>
    <w:rsid w:val="00C44853"/>
    <w:rsid w:val="00C46BFF"/>
    <w:rsid w:val="00C50BBA"/>
    <w:rsid w:val="00C51F93"/>
    <w:rsid w:val="00C64448"/>
    <w:rsid w:val="00C6578D"/>
    <w:rsid w:val="00C73CFE"/>
    <w:rsid w:val="00CB4538"/>
    <w:rsid w:val="00CC7591"/>
    <w:rsid w:val="00CF353A"/>
    <w:rsid w:val="00D2504B"/>
    <w:rsid w:val="00D270FA"/>
    <w:rsid w:val="00D37E0E"/>
    <w:rsid w:val="00D45ADF"/>
    <w:rsid w:val="00D65489"/>
    <w:rsid w:val="00D71FEB"/>
    <w:rsid w:val="00D77E4F"/>
    <w:rsid w:val="00D9401A"/>
    <w:rsid w:val="00DA034F"/>
    <w:rsid w:val="00DA4D5A"/>
    <w:rsid w:val="00DD26ED"/>
    <w:rsid w:val="00DE19E2"/>
    <w:rsid w:val="00DF1156"/>
    <w:rsid w:val="00E03D56"/>
    <w:rsid w:val="00E0449F"/>
    <w:rsid w:val="00E0710B"/>
    <w:rsid w:val="00E1497F"/>
    <w:rsid w:val="00E15047"/>
    <w:rsid w:val="00E30530"/>
    <w:rsid w:val="00E33E4D"/>
    <w:rsid w:val="00E358F0"/>
    <w:rsid w:val="00E36292"/>
    <w:rsid w:val="00E50319"/>
    <w:rsid w:val="00E5162D"/>
    <w:rsid w:val="00E542B4"/>
    <w:rsid w:val="00E61812"/>
    <w:rsid w:val="00E63506"/>
    <w:rsid w:val="00E80987"/>
    <w:rsid w:val="00E80A5D"/>
    <w:rsid w:val="00E81945"/>
    <w:rsid w:val="00E97A38"/>
    <w:rsid w:val="00EA10D8"/>
    <w:rsid w:val="00EA624D"/>
    <w:rsid w:val="00EB1840"/>
    <w:rsid w:val="00EB3BD0"/>
    <w:rsid w:val="00EB5062"/>
    <w:rsid w:val="00EB7DA0"/>
    <w:rsid w:val="00ED15F7"/>
    <w:rsid w:val="00ED20A2"/>
    <w:rsid w:val="00EE465F"/>
    <w:rsid w:val="00EE5312"/>
    <w:rsid w:val="00F005F8"/>
    <w:rsid w:val="00F0255C"/>
    <w:rsid w:val="00F0760F"/>
    <w:rsid w:val="00F1016B"/>
    <w:rsid w:val="00F12D24"/>
    <w:rsid w:val="00F21F21"/>
    <w:rsid w:val="00F26BB2"/>
    <w:rsid w:val="00F26CB5"/>
    <w:rsid w:val="00F37BBC"/>
    <w:rsid w:val="00F45416"/>
    <w:rsid w:val="00F80F7B"/>
    <w:rsid w:val="00FA116F"/>
    <w:rsid w:val="00FA478A"/>
    <w:rsid w:val="00FA5CFC"/>
    <w:rsid w:val="00FB61B2"/>
    <w:rsid w:val="00FB740D"/>
    <w:rsid w:val="00FC71D9"/>
    <w:rsid w:val="00FC7384"/>
    <w:rsid w:val="00FD052E"/>
    <w:rsid w:val="00FD6FE3"/>
    <w:rsid w:val="00FE46B1"/>
    <w:rsid w:val="00FE6256"/>
    <w:rsid w:val="00FE7B91"/>
    <w:rsid w:val="00FF7226"/>
    <w:rsid w:val="00FF793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2FEAC9"/>
  <w15:chartTrackingRefBased/>
  <w15:docId w15:val="{8E0EEDB1-D1ED-4743-A77B-19FAC0E6F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qFormat/>
    <w:pPr>
      <w:keepNext/>
      <w:outlineLvl w:val="0"/>
    </w:pPr>
    <w:rPr>
      <w:sz w:val="24"/>
    </w:rPr>
  </w:style>
  <w:style w:type="paragraph" w:styleId="Nadpis2">
    <w:name w:val="heading 2"/>
    <w:basedOn w:val="Normln"/>
    <w:next w:val="Normln"/>
    <w:qFormat/>
    <w:pPr>
      <w:keepNext/>
      <w:jc w:val="both"/>
      <w:outlineLvl w:val="1"/>
    </w:pPr>
    <w:rPr>
      <w:sz w:val="24"/>
      <w:u w:val="single"/>
    </w:rPr>
  </w:style>
  <w:style w:type="paragraph" w:styleId="Nadpis3">
    <w:name w:val="heading 3"/>
    <w:basedOn w:val="Normln"/>
    <w:next w:val="Normln"/>
    <w:qFormat/>
    <w:pPr>
      <w:keepNext/>
      <w:jc w:val="both"/>
      <w:outlineLvl w:val="2"/>
    </w:pPr>
    <w:rPr>
      <w:b/>
      <w:bCs/>
      <w:i/>
      <w:iCs/>
      <w:sz w:val="24"/>
    </w:rPr>
  </w:style>
  <w:style w:type="paragraph" w:styleId="Nadpis4">
    <w:name w:val="heading 4"/>
    <w:basedOn w:val="Normln"/>
    <w:next w:val="Normln"/>
    <w:qFormat/>
    <w:pPr>
      <w:keepNext/>
      <w:outlineLvl w:val="3"/>
    </w:pPr>
    <w:rPr>
      <w:sz w:val="24"/>
      <w:u w:val="single"/>
    </w:rPr>
  </w:style>
  <w:style w:type="paragraph" w:styleId="Nadpis5">
    <w:name w:val="heading 5"/>
    <w:basedOn w:val="Normln"/>
    <w:next w:val="Normln"/>
    <w:qFormat/>
    <w:pPr>
      <w:keepNext/>
      <w:jc w:val="center"/>
      <w:outlineLvl w:val="4"/>
    </w:pPr>
    <w:rPr>
      <w:sz w:val="24"/>
    </w:rPr>
  </w:style>
  <w:style w:type="paragraph" w:styleId="Nadpis6">
    <w:name w:val="heading 6"/>
    <w:basedOn w:val="Normln"/>
    <w:next w:val="Normln"/>
    <w:qFormat/>
    <w:pPr>
      <w:keepNext/>
      <w:jc w:val="both"/>
      <w:outlineLvl w:val="5"/>
    </w:pPr>
    <w:rPr>
      <w:b/>
      <w:bCs/>
      <w:sz w:val="24"/>
      <w:u w:val="single"/>
    </w:rPr>
  </w:style>
  <w:style w:type="paragraph" w:styleId="Nadpis7">
    <w:name w:val="heading 7"/>
    <w:basedOn w:val="Normln"/>
    <w:next w:val="Normln"/>
    <w:qFormat/>
    <w:pPr>
      <w:keepNext/>
      <w:outlineLvl w:val="6"/>
    </w:pPr>
    <w:rPr>
      <w:b/>
      <w:bCs/>
      <w:sz w:val="24"/>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Seznam2">
    <w:name w:val="List 2"/>
    <w:basedOn w:val="Normln"/>
    <w:semiHidden/>
    <w:pPr>
      <w:ind w:left="566" w:hanging="283"/>
    </w:pPr>
  </w:style>
  <w:style w:type="paragraph" w:styleId="Zpat">
    <w:name w:val="footer"/>
    <w:basedOn w:val="Normln"/>
    <w:semiHidden/>
    <w:pPr>
      <w:tabs>
        <w:tab w:val="center" w:pos="4536"/>
        <w:tab w:val="right" w:pos="9072"/>
      </w:tabs>
    </w:pPr>
    <w:rPr>
      <w:sz w:val="24"/>
    </w:rPr>
  </w:style>
  <w:style w:type="character" w:styleId="slostrnky">
    <w:name w:val="page number"/>
    <w:basedOn w:val="Standardnpsmoodstavce"/>
    <w:semiHidden/>
  </w:style>
  <w:style w:type="paragraph" w:styleId="Zhlav">
    <w:name w:val="header"/>
    <w:basedOn w:val="Normln"/>
    <w:semiHidden/>
    <w:pPr>
      <w:tabs>
        <w:tab w:val="center" w:pos="4536"/>
        <w:tab w:val="right" w:pos="9072"/>
      </w:tabs>
    </w:pPr>
  </w:style>
  <w:style w:type="paragraph" w:customStyle="1" w:styleId="Zkladntext21">
    <w:name w:val="Základní text 21"/>
    <w:basedOn w:val="Normln"/>
    <w:pPr>
      <w:ind w:firstLine="708"/>
      <w:jc w:val="both"/>
    </w:pPr>
    <w:rPr>
      <w:sz w:val="24"/>
    </w:rPr>
  </w:style>
  <w:style w:type="paragraph" w:customStyle="1" w:styleId="Zkladntext22">
    <w:name w:val="Základní text 22"/>
    <w:basedOn w:val="Normln"/>
    <w:pPr>
      <w:ind w:left="397"/>
      <w:jc w:val="both"/>
    </w:pPr>
    <w:rPr>
      <w:sz w:val="24"/>
      <w:lang w:val="en-GB"/>
    </w:rPr>
  </w:style>
  <w:style w:type="paragraph" w:styleId="Zkladntext">
    <w:name w:val="Body Text"/>
    <w:basedOn w:val="Normln"/>
    <w:semiHidden/>
    <w:rPr>
      <w:sz w:val="24"/>
    </w:rPr>
  </w:style>
  <w:style w:type="paragraph" w:customStyle="1" w:styleId="Zkladntext23">
    <w:name w:val="Základní text 23"/>
    <w:basedOn w:val="Normln"/>
    <w:pPr>
      <w:jc w:val="both"/>
    </w:pPr>
    <w:rPr>
      <w:sz w:val="24"/>
    </w:rPr>
  </w:style>
  <w:style w:type="paragraph" w:customStyle="1" w:styleId="Zkladntext31">
    <w:name w:val="Základní text 31"/>
    <w:basedOn w:val="Normln"/>
    <w:pPr>
      <w:jc w:val="both"/>
    </w:pPr>
    <w:rPr>
      <w:i/>
      <w:sz w:val="24"/>
    </w:rPr>
  </w:style>
  <w:style w:type="paragraph" w:customStyle="1" w:styleId="Zkladntext24">
    <w:name w:val="Základní text 24"/>
    <w:basedOn w:val="Normln"/>
    <w:pPr>
      <w:ind w:left="142" w:firstLine="567"/>
      <w:jc w:val="both"/>
    </w:pPr>
    <w:rPr>
      <w:sz w:val="24"/>
    </w:rPr>
  </w:style>
  <w:style w:type="paragraph" w:customStyle="1" w:styleId="Zkladntextodsazen31">
    <w:name w:val="Základní text odsazený 31"/>
    <w:basedOn w:val="Normln"/>
    <w:pPr>
      <w:ind w:firstLine="708"/>
      <w:jc w:val="both"/>
    </w:pPr>
    <w:rPr>
      <w:sz w:val="24"/>
    </w:rPr>
  </w:style>
  <w:style w:type="paragraph" w:customStyle="1" w:styleId="Zkladntext25">
    <w:name w:val="Základní text 25"/>
    <w:basedOn w:val="Normln"/>
    <w:pPr>
      <w:tabs>
        <w:tab w:val="left" w:pos="426"/>
      </w:tabs>
      <w:ind w:left="284" w:hanging="284"/>
      <w:jc w:val="both"/>
    </w:pPr>
    <w:rPr>
      <w:sz w:val="24"/>
    </w:rPr>
  </w:style>
  <w:style w:type="paragraph" w:customStyle="1" w:styleId="Zkladntext26">
    <w:name w:val="Základní text 26"/>
    <w:basedOn w:val="Normln"/>
    <w:pPr>
      <w:jc w:val="both"/>
    </w:pPr>
    <w:rPr>
      <w:sz w:val="24"/>
      <w:u w:val="single"/>
    </w:rPr>
  </w:style>
  <w:style w:type="character" w:styleId="Siln">
    <w:name w:val="Strong"/>
    <w:uiPriority w:val="22"/>
    <w:qFormat/>
    <w:rPr>
      <w:b/>
      <w:bCs/>
    </w:rPr>
  </w:style>
  <w:style w:type="paragraph" w:customStyle="1" w:styleId="Nadpishlavn">
    <w:name w:val="Nadpis hlavní"/>
    <w:basedOn w:val="Normln"/>
    <w:rsid w:val="000F1648"/>
    <w:pPr>
      <w:pBdr>
        <w:top w:val="single" w:sz="12" w:space="4" w:color="auto" w:shadow="1"/>
        <w:left w:val="single" w:sz="12" w:space="4" w:color="auto" w:shadow="1"/>
        <w:bottom w:val="single" w:sz="12" w:space="4" w:color="auto" w:shadow="1"/>
        <w:right w:val="single" w:sz="12" w:space="4" w:color="auto" w:shadow="1"/>
      </w:pBdr>
      <w:jc w:val="center"/>
    </w:pPr>
    <w:rPr>
      <w:b/>
      <w:sz w:val="25"/>
    </w:rPr>
  </w:style>
  <w:style w:type="paragraph" w:customStyle="1" w:styleId="Textodstavce">
    <w:name w:val="Text odstavce"/>
    <w:basedOn w:val="Normln"/>
    <w:link w:val="TextodstavceChar"/>
    <w:pPr>
      <w:spacing w:before="120"/>
      <w:ind w:firstLine="709"/>
      <w:jc w:val="both"/>
    </w:pPr>
    <w:rPr>
      <w:sz w:val="24"/>
    </w:rPr>
  </w:style>
  <w:style w:type="paragraph" w:customStyle="1" w:styleId="Nadpissti">
    <w:name w:val="Nadpis části"/>
    <w:basedOn w:val="Textodstavce"/>
    <w:pPr>
      <w:keepNext/>
      <w:keepLines/>
      <w:spacing w:before="640"/>
      <w:ind w:firstLine="0"/>
      <w:jc w:val="center"/>
    </w:pPr>
    <w:rPr>
      <w:b/>
      <w:caps/>
    </w:rPr>
  </w:style>
  <w:style w:type="paragraph" w:customStyle="1" w:styleId="Textpsmena">
    <w:name w:val="Text písmena"/>
    <w:basedOn w:val="Textodstavce"/>
    <w:pPr>
      <w:tabs>
        <w:tab w:val="left" w:pos="284"/>
        <w:tab w:val="left" w:pos="1068"/>
      </w:tabs>
      <w:ind w:left="284" w:hanging="284"/>
    </w:pPr>
  </w:style>
  <w:style w:type="paragraph" w:customStyle="1" w:styleId="Nadpispodsti">
    <w:name w:val="Nadpis podčásti"/>
    <w:basedOn w:val="Nadpissti"/>
    <w:rPr>
      <w:b w:val="0"/>
      <w:bCs/>
      <w:smallCaps/>
      <w:u w:val="single"/>
    </w:rPr>
  </w:style>
  <w:style w:type="paragraph" w:customStyle="1" w:styleId="Rubrika">
    <w:name w:val="Rubrika"/>
    <w:basedOn w:val="Normln"/>
    <w:pPr>
      <w:keepNext/>
      <w:spacing w:before="120"/>
      <w:ind w:firstLine="709"/>
      <w:jc w:val="both"/>
    </w:pPr>
    <w:rPr>
      <w:b/>
      <w:bCs/>
      <w:i/>
      <w:sz w:val="24"/>
      <w:u w:val="dash"/>
    </w:rPr>
  </w:style>
  <w:style w:type="paragraph" w:customStyle="1" w:styleId="Nadpisoddlu">
    <w:name w:val="Nadpis oddílu"/>
    <w:basedOn w:val="Textodstavce"/>
    <w:link w:val="NadpisoddluChar"/>
    <w:pPr>
      <w:keepNext/>
      <w:spacing w:before="400"/>
      <w:ind w:firstLine="0"/>
      <w:jc w:val="center"/>
    </w:pPr>
    <w:rPr>
      <w:i/>
      <w:smallCaps/>
    </w:rPr>
  </w:style>
  <w:style w:type="paragraph" w:customStyle="1" w:styleId="Nadpispododdlu">
    <w:name w:val="Nadpis pododdílu"/>
    <w:basedOn w:val="Nadpisoddlu"/>
    <w:pPr>
      <w:spacing w:before="320"/>
    </w:pPr>
    <w:rPr>
      <w:smallCaps w:val="0"/>
    </w:rPr>
  </w:style>
  <w:style w:type="paragraph" w:customStyle="1" w:styleId="Nadpisvtextu">
    <w:name w:val="Nadpis v textu"/>
    <w:basedOn w:val="Nadpispododdlu"/>
    <w:rPr>
      <w:i w:val="0"/>
      <w:u w:val="dotDotDash"/>
    </w:rPr>
  </w:style>
  <w:style w:type="character" w:customStyle="1" w:styleId="Siln1">
    <w:name w:val="Silné1"/>
    <w:rPr>
      <w:b/>
    </w:rPr>
  </w:style>
  <w:style w:type="character" w:customStyle="1" w:styleId="normal--char">
    <w:name w:val="normal--char"/>
    <w:rsid w:val="00AF3177"/>
  </w:style>
  <w:style w:type="paragraph" w:customStyle="1" w:styleId="Hvzdiky">
    <w:name w:val="Hvězdičky"/>
    <w:basedOn w:val="Normln"/>
    <w:pPr>
      <w:spacing w:before="320" w:after="160"/>
      <w:jc w:val="center"/>
    </w:pPr>
  </w:style>
  <w:style w:type="character" w:customStyle="1" w:styleId="TextodstavceChar">
    <w:name w:val="Text odstavce Char"/>
    <w:link w:val="Textodstavce"/>
    <w:rsid w:val="00625985"/>
    <w:rPr>
      <w:sz w:val="24"/>
    </w:rPr>
  </w:style>
  <w:style w:type="paragraph" w:styleId="Textpoznpodarou">
    <w:name w:val="footnote text"/>
    <w:basedOn w:val="Normln"/>
    <w:link w:val="TextpoznpodarouChar"/>
    <w:semiHidden/>
    <w:rsid w:val="00625985"/>
  </w:style>
  <w:style w:type="character" w:customStyle="1" w:styleId="TextpoznpodarouChar">
    <w:name w:val="Text pozn. pod čarou Char"/>
    <w:basedOn w:val="Standardnpsmoodstavce"/>
    <w:link w:val="Textpoznpodarou"/>
    <w:semiHidden/>
    <w:rsid w:val="00625985"/>
  </w:style>
  <w:style w:type="character" w:styleId="Znakapoznpodarou">
    <w:name w:val="footnote reference"/>
    <w:semiHidden/>
    <w:rsid w:val="00625985"/>
    <w:rPr>
      <w:vertAlign w:val="superscript"/>
    </w:rPr>
  </w:style>
  <w:style w:type="character" w:styleId="Odkaznakoment">
    <w:name w:val="annotation reference"/>
    <w:uiPriority w:val="99"/>
    <w:semiHidden/>
    <w:unhideWhenUsed/>
    <w:rsid w:val="00BE34B2"/>
    <w:rPr>
      <w:sz w:val="16"/>
      <w:szCs w:val="16"/>
    </w:rPr>
  </w:style>
  <w:style w:type="paragraph" w:styleId="Textkomente">
    <w:name w:val="annotation text"/>
    <w:basedOn w:val="Normln"/>
    <w:link w:val="TextkomenteChar"/>
    <w:uiPriority w:val="99"/>
    <w:unhideWhenUsed/>
    <w:rsid w:val="00BE34B2"/>
  </w:style>
  <w:style w:type="character" w:customStyle="1" w:styleId="TextkomenteChar">
    <w:name w:val="Text komentáře Char"/>
    <w:basedOn w:val="Standardnpsmoodstavce"/>
    <w:link w:val="Textkomente"/>
    <w:uiPriority w:val="99"/>
    <w:rsid w:val="00BE34B2"/>
  </w:style>
  <w:style w:type="paragraph" w:styleId="Pedmtkomente">
    <w:name w:val="annotation subject"/>
    <w:basedOn w:val="Textkomente"/>
    <w:next w:val="Textkomente"/>
    <w:link w:val="PedmtkomenteChar"/>
    <w:uiPriority w:val="99"/>
    <w:semiHidden/>
    <w:unhideWhenUsed/>
    <w:rsid w:val="00BE34B2"/>
    <w:rPr>
      <w:b/>
      <w:bCs/>
    </w:rPr>
  </w:style>
  <w:style w:type="character" w:customStyle="1" w:styleId="PedmtkomenteChar">
    <w:name w:val="Předmět komentáře Char"/>
    <w:link w:val="Pedmtkomente"/>
    <w:uiPriority w:val="99"/>
    <w:semiHidden/>
    <w:rsid w:val="00BE34B2"/>
    <w:rPr>
      <w:b/>
      <w:bCs/>
    </w:rPr>
  </w:style>
  <w:style w:type="paragraph" w:styleId="Textbubliny">
    <w:name w:val="Balloon Text"/>
    <w:basedOn w:val="Normln"/>
    <w:link w:val="TextbublinyChar"/>
    <w:uiPriority w:val="99"/>
    <w:semiHidden/>
    <w:unhideWhenUsed/>
    <w:rsid w:val="00BE34B2"/>
    <w:rPr>
      <w:rFonts w:ascii="Tahoma" w:hAnsi="Tahoma" w:cs="Tahoma"/>
      <w:sz w:val="16"/>
      <w:szCs w:val="16"/>
    </w:rPr>
  </w:style>
  <w:style w:type="character" w:customStyle="1" w:styleId="TextbublinyChar">
    <w:name w:val="Text bubliny Char"/>
    <w:link w:val="Textbubliny"/>
    <w:uiPriority w:val="99"/>
    <w:semiHidden/>
    <w:rsid w:val="00BE34B2"/>
    <w:rPr>
      <w:rFonts w:ascii="Tahoma" w:hAnsi="Tahoma" w:cs="Tahoma"/>
      <w:sz w:val="16"/>
      <w:szCs w:val="16"/>
    </w:rPr>
  </w:style>
  <w:style w:type="paragraph" w:customStyle="1" w:styleId="Default">
    <w:name w:val="Default"/>
    <w:rsid w:val="00FF793D"/>
    <w:pPr>
      <w:autoSpaceDE w:val="0"/>
      <w:autoSpaceDN w:val="0"/>
      <w:adjustRightInd w:val="0"/>
    </w:pPr>
    <w:rPr>
      <w:color w:val="000000"/>
      <w:sz w:val="24"/>
      <w:szCs w:val="24"/>
    </w:rPr>
  </w:style>
  <w:style w:type="character" w:styleId="Hypertextovodkaz">
    <w:name w:val="Hyperlink"/>
    <w:basedOn w:val="Standardnpsmoodstavce"/>
    <w:uiPriority w:val="99"/>
    <w:unhideWhenUsed/>
    <w:rsid w:val="00A57CA5"/>
    <w:rPr>
      <w:color w:val="0563C1" w:themeColor="hyperlink"/>
      <w:u w:val="single"/>
    </w:rPr>
  </w:style>
  <w:style w:type="character" w:customStyle="1" w:styleId="Nevyeenzmnka1">
    <w:name w:val="Nevyřešená zmínka1"/>
    <w:basedOn w:val="Standardnpsmoodstavce"/>
    <w:uiPriority w:val="99"/>
    <w:semiHidden/>
    <w:unhideWhenUsed/>
    <w:rsid w:val="00A57CA5"/>
    <w:rPr>
      <w:color w:val="605E5C"/>
      <w:shd w:val="clear" w:color="auto" w:fill="E1DFDD"/>
    </w:rPr>
  </w:style>
  <w:style w:type="character" w:styleId="Sledovanodkaz">
    <w:name w:val="FollowedHyperlink"/>
    <w:basedOn w:val="Standardnpsmoodstavce"/>
    <w:uiPriority w:val="99"/>
    <w:semiHidden/>
    <w:unhideWhenUsed/>
    <w:rsid w:val="003435D7"/>
    <w:rPr>
      <w:color w:val="954F72" w:themeColor="followedHyperlink"/>
      <w:u w:val="single"/>
    </w:rPr>
  </w:style>
  <w:style w:type="paragraph" w:styleId="Revize">
    <w:name w:val="Revision"/>
    <w:hidden/>
    <w:uiPriority w:val="99"/>
    <w:semiHidden/>
    <w:rsid w:val="00AB06F6"/>
  </w:style>
  <w:style w:type="character" w:customStyle="1" w:styleId="Nevyeenzmnka2">
    <w:name w:val="Nevyřešená zmínka2"/>
    <w:basedOn w:val="Standardnpsmoodstavce"/>
    <w:uiPriority w:val="99"/>
    <w:semiHidden/>
    <w:unhideWhenUsed/>
    <w:rsid w:val="008A5E5E"/>
    <w:rPr>
      <w:color w:val="605E5C"/>
      <w:shd w:val="clear" w:color="auto" w:fill="E1DFDD"/>
    </w:rPr>
  </w:style>
  <w:style w:type="character" w:styleId="Zdraznn">
    <w:name w:val="Emphasis"/>
    <w:basedOn w:val="Standardnpsmoodstavce"/>
    <w:uiPriority w:val="20"/>
    <w:qFormat/>
    <w:rsid w:val="00BE6094"/>
    <w:rPr>
      <w:i/>
      <w:iCs/>
    </w:rPr>
  </w:style>
  <w:style w:type="character" w:customStyle="1" w:styleId="column">
    <w:name w:val="column"/>
    <w:basedOn w:val="Standardnpsmoodstavce"/>
    <w:rsid w:val="005554ED"/>
  </w:style>
  <w:style w:type="paragraph" w:customStyle="1" w:styleId="JuPara">
    <w:name w:val="Ju_Para"/>
    <w:aliases w:val="ECHR_Para,_Para"/>
    <w:basedOn w:val="Normln"/>
    <w:link w:val="JuParaChar"/>
    <w:uiPriority w:val="4"/>
    <w:qFormat/>
    <w:rsid w:val="0030061A"/>
    <w:pPr>
      <w:ind w:firstLine="284"/>
      <w:jc w:val="both"/>
    </w:pPr>
    <w:rPr>
      <w:rFonts w:asciiTheme="minorHAnsi" w:eastAsiaTheme="minorHAnsi" w:hAnsiTheme="minorHAnsi" w:cstheme="minorBidi"/>
      <w:sz w:val="24"/>
      <w:szCs w:val="24"/>
      <w:lang w:val="en-GB" w:eastAsia="en-US"/>
    </w:rPr>
  </w:style>
  <w:style w:type="character" w:customStyle="1" w:styleId="JuParaChar">
    <w:name w:val="Ju_Para Char"/>
    <w:aliases w:val="_Para Char"/>
    <w:link w:val="JuPara"/>
    <w:uiPriority w:val="4"/>
    <w:rsid w:val="0030061A"/>
    <w:rPr>
      <w:rFonts w:asciiTheme="minorHAnsi" w:eastAsiaTheme="minorHAnsi" w:hAnsiTheme="minorHAnsi" w:cstheme="minorBidi"/>
      <w:sz w:val="24"/>
      <w:szCs w:val="24"/>
      <w:lang w:val="en-GB" w:eastAsia="en-US"/>
    </w:rPr>
  </w:style>
  <w:style w:type="paragraph" w:styleId="Odstavecseseznamem">
    <w:name w:val="List Paragraph"/>
    <w:basedOn w:val="Normln"/>
    <w:uiPriority w:val="34"/>
    <w:qFormat/>
    <w:rsid w:val="00186617"/>
    <w:pPr>
      <w:ind w:left="720"/>
    </w:pPr>
    <w:rPr>
      <w:rFonts w:ascii="Calibri" w:eastAsiaTheme="minorHAnsi" w:hAnsi="Calibri" w:cs="Calibri"/>
      <w:sz w:val="22"/>
      <w:szCs w:val="22"/>
      <w:lang w:eastAsia="en-US"/>
      <w14:ligatures w14:val="standardContextual"/>
    </w:rPr>
  </w:style>
  <w:style w:type="paragraph" w:customStyle="1" w:styleId="pf0">
    <w:name w:val="pf0"/>
    <w:basedOn w:val="Normln"/>
    <w:rsid w:val="00F26CB5"/>
    <w:pPr>
      <w:spacing w:before="100" w:beforeAutospacing="1" w:after="100" w:afterAutospacing="1"/>
    </w:pPr>
    <w:rPr>
      <w:sz w:val="24"/>
      <w:szCs w:val="24"/>
    </w:rPr>
  </w:style>
  <w:style w:type="character" w:customStyle="1" w:styleId="cf01">
    <w:name w:val="cf01"/>
    <w:basedOn w:val="Standardnpsmoodstavce"/>
    <w:rsid w:val="00F26CB5"/>
    <w:rPr>
      <w:rFonts w:ascii="Segoe UI" w:hAnsi="Segoe UI" w:cs="Segoe UI" w:hint="default"/>
      <w:sz w:val="18"/>
      <w:szCs w:val="18"/>
    </w:rPr>
  </w:style>
  <w:style w:type="character" w:customStyle="1" w:styleId="Nevyeenzmnka3">
    <w:name w:val="Nevyřešená zmínka3"/>
    <w:basedOn w:val="Standardnpsmoodstavce"/>
    <w:uiPriority w:val="99"/>
    <w:semiHidden/>
    <w:unhideWhenUsed/>
    <w:rsid w:val="00E15047"/>
    <w:rPr>
      <w:color w:val="605E5C"/>
      <w:shd w:val="clear" w:color="auto" w:fill="E1DFDD"/>
    </w:rPr>
  </w:style>
  <w:style w:type="character" w:customStyle="1" w:styleId="NadpisoddluChar">
    <w:name w:val="Nadpis oddílu Char"/>
    <w:link w:val="Nadpisoddlu"/>
    <w:rsid w:val="00AB2F7F"/>
    <w:rPr>
      <w:i/>
      <w:smallCaps/>
      <w:sz w:val="24"/>
    </w:rPr>
  </w:style>
  <w:style w:type="paragraph" w:customStyle="1" w:styleId="Stanovisko-text">
    <w:name w:val="Stanovisko-text"/>
    <w:basedOn w:val="Normln"/>
    <w:link w:val="Stanovisko-textChar"/>
    <w:rsid w:val="0041431E"/>
    <w:pPr>
      <w:numPr>
        <w:numId w:val="5"/>
      </w:numPr>
      <w:tabs>
        <w:tab w:val="clear" w:pos="644"/>
        <w:tab w:val="left" w:pos="993"/>
      </w:tabs>
      <w:spacing w:after="100"/>
      <w:ind w:firstLine="425"/>
      <w:jc w:val="both"/>
    </w:pPr>
    <w:rPr>
      <w:sz w:val="24"/>
      <w:szCs w:val="24"/>
      <w:lang w:val="en-GB"/>
    </w:rPr>
  </w:style>
  <w:style w:type="character" w:customStyle="1" w:styleId="Stanovisko-textChar">
    <w:name w:val="Stanovisko-text Char"/>
    <w:link w:val="Stanovisko-text"/>
    <w:rsid w:val="0041431E"/>
    <w:rPr>
      <w:sz w:val="24"/>
      <w:szCs w:val="24"/>
      <w:lang w:val="en-GB"/>
    </w:rPr>
  </w:style>
  <w:style w:type="character" w:customStyle="1" w:styleId="pdfoutput28">
    <w:name w:val="pdfoutput_28"/>
    <w:basedOn w:val="Standardnpsmoodstavce"/>
    <w:rsid w:val="005E5AA5"/>
  </w:style>
  <w:style w:type="character" w:styleId="Nevyeenzmnka">
    <w:name w:val="Unresolved Mention"/>
    <w:basedOn w:val="Standardnpsmoodstavce"/>
    <w:uiPriority w:val="99"/>
    <w:semiHidden/>
    <w:unhideWhenUsed/>
    <w:rsid w:val="00B759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250909">
      <w:bodyDiv w:val="1"/>
      <w:marLeft w:val="0"/>
      <w:marRight w:val="0"/>
      <w:marTop w:val="0"/>
      <w:marBottom w:val="0"/>
      <w:divBdr>
        <w:top w:val="none" w:sz="0" w:space="0" w:color="auto"/>
        <w:left w:val="none" w:sz="0" w:space="0" w:color="auto"/>
        <w:bottom w:val="none" w:sz="0" w:space="0" w:color="auto"/>
        <w:right w:val="none" w:sz="0" w:space="0" w:color="auto"/>
      </w:divBdr>
    </w:div>
    <w:div w:id="672952130">
      <w:bodyDiv w:val="1"/>
      <w:marLeft w:val="0"/>
      <w:marRight w:val="0"/>
      <w:marTop w:val="0"/>
      <w:marBottom w:val="0"/>
      <w:divBdr>
        <w:top w:val="none" w:sz="0" w:space="0" w:color="auto"/>
        <w:left w:val="none" w:sz="0" w:space="0" w:color="auto"/>
        <w:bottom w:val="none" w:sz="0" w:space="0" w:color="auto"/>
        <w:right w:val="none" w:sz="0" w:space="0" w:color="auto"/>
      </w:divBdr>
    </w:div>
    <w:div w:id="750153352">
      <w:bodyDiv w:val="1"/>
      <w:marLeft w:val="0"/>
      <w:marRight w:val="0"/>
      <w:marTop w:val="0"/>
      <w:marBottom w:val="0"/>
      <w:divBdr>
        <w:top w:val="none" w:sz="0" w:space="0" w:color="auto"/>
        <w:left w:val="none" w:sz="0" w:space="0" w:color="auto"/>
        <w:bottom w:val="none" w:sz="0" w:space="0" w:color="auto"/>
        <w:right w:val="none" w:sz="0" w:space="0" w:color="auto"/>
      </w:divBdr>
    </w:div>
    <w:div w:id="1029183310">
      <w:bodyDiv w:val="1"/>
      <w:marLeft w:val="0"/>
      <w:marRight w:val="0"/>
      <w:marTop w:val="0"/>
      <w:marBottom w:val="0"/>
      <w:divBdr>
        <w:top w:val="none" w:sz="0" w:space="0" w:color="auto"/>
        <w:left w:val="none" w:sz="0" w:space="0" w:color="auto"/>
        <w:bottom w:val="none" w:sz="0" w:space="0" w:color="auto"/>
        <w:right w:val="none" w:sz="0" w:space="0" w:color="auto"/>
      </w:divBdr>
    </w:div>
    <w:div w:id="1069619107">
      <w:bodyDiv w:val="1"/>
      <w:marLeft w:val="0"/>
      <w:marRight w:val="0"/>
      <w:marTop w:val="0"/>
      <w:marBottom w:val="0"/>
      <w:divBdr>
        <w:top w:val="none" w:sz="0" w:space="0" w:color="auto"/>
        <w:left w:val="none" w:sz="0" w:space="0" w:color="auto"/>
        <w:bottom w:val="none" w:sz="0" w:space="0" w:color="auto"/>
        <w:right w:val="none" w:sz="0" w:space="0" w:color="auto"/>
      </w:divBdr>
      <w:divsChild>
        <w:div w:id="2024163079">
          <w:marLeft w:val="0"/>
          <w:marRight w:val="0"/>
          <w:marTop w:val="0"/>
          <w:marBottom w:val="0"/>
          <w:divBdr>
            <w:top w:val="none" w:sz="0" w:space="0" w:color="auto"/>
            <w:left w:val="none" w:sz="0" w:space="0" w:color="auto"/>
            <w:bottom w:val="none" w:sz="0" w:space="0" w:color="auto"/>
            <w:right w:val="none" w:sz="0" w:space="0" w:color="auto"/>
          </w:divBdr>
        </w:div>
        <w:div w:id="126245529">
          <w:marLeft w:val="0"/>
          <w:marRight w:val="0"/>
          <w:marTop w:val="0"/>
          <w:marBottom w:val="0"/>
          <w:divBdr>
            <w:top w:val="none" w:sz="0" w:space="0" w:color="auto"/>
            <w:left w:val="none" w:sz="0" w:space="0" w:color="auto"/>
            <w:bottom w:val="none" w:sz="0" w:space="0" w:color="auto"/>
            <w:right w:val="none" w:sz="0" w:space="0" w:color="auto"/>
          </w:divBdr>
        </w:div>
        <w:div w:id="852567828">
          <w:marLeft w:val="0"/>
          <w:marRight w:val="0"/>
          <w:marTop w:val="0"/>
          <w:marBottom w:val="0"/>
          <w:divBdr>
            <w:top w:val="none" w:sz="0" w:space="0" w:color="auto"/>
            <w:left w:val="none" w:sz="0" w:space="0" w:color="auto"/>
            <w:bottom w:val="none" w:sz="0" w:space="0" w:color="auto"/>
            <w:right w:val="none" w:sz="0" w:space="0" w:color="auto"/>
          </w:divBdr>
        </w:div>
      </w:divsChild>
    </w:div>
    <w:div w:id="1140075311">
      <w:bodyDiv w:val="1"/>
      <w:marLeft w:val="0"/>
      <w:marRight w:val="0"/>
      <w:marTop w:val="0"/>
      <w:marBottom w:val="0"/>
      <w:divBdr>
        <w:top w:val="none" w:sz="0" w:space="0" w:color="auto"/>
        <w:left w:val="none" w:sz="0" w:space="0" w:color="auto"/>
        <w:bottom w:val="none" w:sz="0" w:space="0" w:color="auto"/>
        <w:right w:val="none" w:sz="0" w:space="0" w:color="auto"/>
      </w:divBdr>
    </w:div>
    <w:div w:id="1195968253">
      <w:bodyDiv w:val="1"/>
      <w:marLeft w:val="0"/>
      <w:marRight w:val="0"/>
      <w:marTop w:val="0"/>
      <w:marBottom w:val="0"/>
      <w:divBdr>
        <w:top w:val="none" w:sz="0" w:space="0" w:color="auto"/>
        <w:left w:val="none" w:sz="0" w:space="0" w:color="auto"/>
        <w:bottom w:val="none" w:sz="0" w:space="0" w:color="auto"/>
        <w:right w:val="none" w:sz="0" w:space="0" w:color="auto"/>
      </w:divBdr>
    </w:div>
    <w:div w:id="1579635317">
      <w:bodyDiv w:val="1"/>
      <w:marLeft w:val="0"/>
      <w:marRight w:val="0"/>
      <w:marTop w:val="0"/>
      <w:marBottom w:val="0"/>
      <w:divBdr>
        <w:top w:val="none" w:sz="0" w:space="0" w:color="auto"/>
        <w:left w:val="none" w:sz="0" w:space="0" w:color="auto"/>
        <w:bottom w:val="none" w:sz="0" w:space="0" w:color="auto"/>
        <w:right w:val="none" w:sz="0" w:space="0" w:color="auto"/>
      </w:divBdr>
    </w:div>
    <w:div w:id="1622029207">
      <w:bodyDiv w:val="1"/>
      <w:marLeft w:val="0"/>
      <w:marRight w:val="0"/>
      <w:marTop w:val="0"/>
      <w:marBottom w:val="0"/>
      <w:divBdr>
        <w:top w:val="none" w:sz="0" w:space="0" w:color="auto"/>
        <w:left w:val="none" w:sz="0" w:space="0" w:color="auto"/>
        <w:bottom w:val="none" w:sz="0" w:space="0" w:color="auto"/>
        <w:right w:val="none" w:sz="0" w:space="0" w:color="auto"/>
      </w:divBdr>
    </w:div>
    <w:div w:id="1945072252">
      <w:bodyDiv w:val="1"/>
      <w:marLeft w:val="0"/>
      <w:marRight w:val="0"/>
      <w:marTop w:val="0"/>
      <w:marBottom w:val="0"/>
      <w:divBdr>
        <w:top w:val="none" w:sz="0" w:space="0" w:color="auto"/>
        <w:left w:val="none" w:sz="0" w:space="0" w:color="auto"/>
        <w:bottom w:val="none" w:sz="0" w:space="0" w:color="auto"/>
        <w:right w:val="none" w:sz="0" w:space="0" w:color="auto"/>
      </w:divBdr>
    </w:div>
    <w:div w:id="2106338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justice.cz/web/msp/zpravodaj-kvz" TargetMode="External"/><Relationship Id="rId13" Type="http://schemas.openxmlformats.org/officeDocument/2006/relationships/hyperlink" Target="https://mezisoudy.cz/"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ezisoudy.cz/vykon-rozsudku-eslp-a-rozhodnuti-dalsich-mezinarodnich-lidskopravnich-organu/kolegium-expertu-pro-vykon-rozsudku/jednani-kolegia-dne-11-prosince-202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ezisoudy.cz/storage/files/kvz/ZPRAVODAJ_4_2024.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mezisoudy.cz/databaze-judikatury" TargetMode="External"/><Relationship Id="rId4" Type="http://schemas.openxmlformats.org/officeDocument/2006/relationships/settings" Target="settings.xml"/><Relationship Id="rId9" Type="http://schemas.openxmlformats.org/officeDocument/2006/relationships/hyperlink" Target="https://mezisoudy.cz/aktuality/evropsky-soud-pro-lidska-prava-dnes-vydal-rozsudky-a-rozhodnuti-ve-ctyrech-vecech-proti-ceske-republice" TargetMode="External"/><Relationship Id="rId14" Type="http://schemas.openxmlformats.org/officeDocument/2006/relationships/hyperlink" Target="https://eslp.nsoud.cz/vyber/22063/"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mezisoudy.cz/vykon-rozsudku-eslp-a-rozhodnuti-dalsich-mezinarodnich-lidskopravnich-organu/kolegium-expertu-pro-vykon-rozsudku" TargetMode="External"/><Relationship Id="rId2" Type="http://schemas.openxmlformats.org/officeDocument/2006/relationships/hyperlink" Target="https://mezisoudy.cz/zpravodaj-kvz" TargetMode="External"/><Relationship Id="rId1" Type="http://schemas.openxmlformats.org/officeDocument/2006/relationships/hyperlink" Target="https://mezisoudy.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655CB5-C58B-4A1A-B65E-E4C79F6B8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Pages>
  <Words>814</Words>
  <Characters>5388</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Stanovisko vlády České republiky</vt:lpstr>
    </vt:vector>
  </TitlesOfParts>
  <Company>MSp</Company>
  <LinksUpToDate>false</LinksUpToDate>
  <CharactersWithSpaces>6190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Stanovisko vlády České republiky</dc:title>
  <dc:subject/>
  <dc:creator>Kaštyl Miroslav Mgr.</dc:creator>
  <cp:keywords/>
  <dc:description/>
  <cp:lastModifiedBy>Petrová Eva Mgr.</cp:lastModifiedBy>
  <cp:revision>4</cp:revision>
  <cp:lastPrinted>2002-07-09T15:11:00Z</cp:lastPrinted>
  <dcterms:created xsi:type="dcterms:W3CDTF">2025-05-02T08:06:00Z</dcterms:created>
  <dcterms:modified xsi:type="dcterms:W3CDTF">2025-05-02T08:52:00Z</dcterms:modified>
  <cp:contentStatus/>
</cp:coreProperties>
</file>