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5A329" w14:textId="6CF4C50E" w:rsidR="00510838" w:rsidRPr="00F76583" w:rsidRDefault="002C1F01" w:rsidP="00F76583">
      <w:pPr>
        <w:pStyle w:val="Nadpishlavn"/>
        <w:rPr>
          <w:i/>
          <w:lang w:val="en-GB"/>
        </w:rPr>
      </w:pPr>
      <w:r w:rsidRPr="00AC3A5E">
        <w:rPr>
          <w:lang w:val="en-GB"/>
        </w:rPr>
        <w:t>Execution of the judgment of the European Court of Human Rights</w:t>
      </w:r>
      <w:r w:rsidRPr="00AC3A5E">
        <w:rPr>
          <w:lang w:val="en-GB"/>
        </w:rPr>
        <w:br/>
        <w:t xml:space="preserve">in case no. </w:t>
      </w:r>
      <w:r w:rsidR="00A30046">
        <w:t>3</w:t>
      </w:r>
      <w:r w:rsidR="00F76583">
        <w:t>3037</w:t>
      </w:r>
      <w:r w:rsidR="00A30046" w:rsidRPr="00C706A7">
        <w:t>/</w:t>
      </w:r>
      <w:r w:rsidR="00A30046">
        <w:t>2</w:t>
      </w:r>
      <w:r w:rsidR="00F76583">
        <w:t>2</w:t>
      </w:r>
      <w:r w:rsidR="00A30046">
        <w:t xml:space="preserve"> </w:t>
      </w:r>
      <w:r w:rsidR="00C44853">
        <w:rPr>
          <w:lang w:val="en-GB"/>
        </w:rPr>
        <w:t xml:space="preserve">– </w:t>
      </w:r>
      <w:r w:rsidR="00F76583">
        <w:rPr>
          <w:i/>
          <w:lang w:val="en-GB"/>
        </w:rPr>
        <w:t>T.H.</w:t>
      </w:r>
      <w:r w:rsidR="00C44853">
        <w:rPr>
          <w:i/>
          <w:lang w:val="en-GB"/>
        </w:rPr>
        <w:t xml:space="preserve"> </w:t>
      </w:r>
      <w:r w:rsidR="000928E3" w:rsidRPr="00AC3A5E">
        <w:rPr>
          <w:i/>
          <w:lang w:val="en-GB"/>
        </w:rPr>
        <w:t>v</w:t>
      </w:r>
      <w:r w:rsidR="000928E3" w:rsidRPr="00AC3A5E">
        <w:rPr>
          <w:iCs/>
          <w:lang w:val="en-GB"/>
        </w:rPr>
        <w:t xml:space="preserve">. </w:t>
      </w:r>
      <w:r w:rsidR="000928E3" w:rsidRPr="00AC3A5E">
        <w:rPr>
          <w:i/>
          <w:lang w:val="en-GB"/>
        </w:rPr>
        <w:t>the Czech Republic</w:t>
      </w:r>
    </w:p>
    <w:p w14:paraId="5A21AB23" w14:textId="2FB3C83C" w:rsidR="00AF3177" w:rsidRPr="00B068C6" w:rsidRDefault="002C1F01" w:rsidP="00B068C6">
      <w:pPr>
        <w:pStyle w:val="Nadpishlavn"/>
        <w:rPr>
          <w:i/>
          <w:lang w:val="en-GB"/>
        </w:rPr>
      </w:pPr>
      <w:r w:rsidRPr="00AC3A5E">
        <w:rPr>
          <w:lang w:val="en-GB"/>
        </w:rPr>
        <w:br/>
      </w:r>
      <w:r w:rsidR="00AF3177" w:rsidRPr="00AC3A5E">
        <w:rPr>
          <w:lang w:val="en-GB"/>
        </w:rPr>
        <w:t xml:space="preserve">Action </w:t>
      </w:r>
      <w:r w:rsidR="00A30046">
        <w:rPr>
          <w:lang w:val="en-GB"/>
        </w:rPr>
        <w:t>Report</w:t>
      </w:r>
      <w:r w:rsidR="00AF3177" w:rsidRPr="00AC3A5E">
        <w:rPr>
          <w:lang w:val="en-GB"/>
        </w:rPr>
        <w:t xml:space="preserve"> </w:t>
      </w:r>
      <w:r w:rsidRPr="00AC3A5E">
        <w:rPr>
          <w:lang w:val="en-GB"/>
        </w:rPr>
        <w:t xml:space="preserve">submitted by </w:t>
      </w:r>
      <w:r w:rsidR="00AF3177" w:rsidRPr="00AC3A5E">
        <w:rPr>
          <w:lang w:val="en-GB"/>
        </w:rPr>
        <w:t xml:space="preserve">the </w:t>
      </w:r>
      <w:r w:rsidR="00AB1570" w:rsidRPr="00AC3A5E">
        <w:rPr>
          <w:lang w:val="en-GB"/>
        </w:rPr>
        <w:t xml:space="preserve">Czech </w:t>
      </w:r>
      <w:r w:rsidR="00AF3177" w:rsidRPr="00AC3A5E">
        <w:rPr>
          <w:lang w:val="en-GB"/>
        </w:rPr>
        <w:t>G</w:t>
      </w:r>
      <w:r w:rsidRPr="00AC3A5E">
        <w:rPr>
          <w:lang w:val="en-GB"/>
        </w:rPr>
        <w:t xml:space="preserve">overnment </w:t>
      </w:r>
      <w:r w:rsidR="00AB1570" w:rsidRPr="00AC3A5E">
        <w:rPr>
          <w:lang w:val="en-GB"/>
        </w:rPr>
        <w:t>on</w:t>
      </w:r>
      <w:r w:rsidR="000928E3" w:rsidRPr="00AC3A5E">
        <w:rPr>
          <w:lang w:val="en-GB"/>
        </w:rPr>
        <w:t xml:space="preserve"> </w:t>
      </w:r>
      <w:r w:rsidR="00F76583">
        <w:rPr>
          <w:lang w:val="en-GB"/>
        </w:rPr>
        <w:t>1</w:t>
      </w:r>
      <w:r w:rsidR="009306DA">
        <w:rPr>
          <w:lang w:val="en-GB"/>
        </w:rPr>
        <w:t>1</w:t>
      </w:r>
      <w:r w:rsidR="00F76583">
        <w:rPr>
          <w:lang w:val="en-GB"/>
        </w:rPr>
        <w:t xml:space="preserve"> March</w:t>
      </w:r>
      <w:r w:rsidR="00AB1570" w:rsidRPr="00AC3A5E">
        <w:rPr>
          <w:lang w:val="en-GB"/>
        </w:rPr>
        <w:t xml:space="preserve"> 20</w:t>
      </w:r>
      <w:r w:rsidR="000928E3" w:rsidRPr="00AC3A5E">
        <w:rPr>
          <w:lang w:val="en-GB"/>
        </w:rPr>
        <w:t>2</w:t>
      </w:r>
      <w:r w:rsidR="00F76583">
        <w:rPr>
          <w:lang w:val="en-GB"/>
        </w:rPr>
        <w:t>6</w:t>
      </w:r>
    </w:p>
    <w:p w14:paraId="4876A4D6" w14:textId="69C435CF" w:rsidR="00F76583" w:rsidRDefault="00625985" w:rsidP="00F76583">
      <w:pPr>
        <w:pStyle w:val="Textodstavce"/>
        <w:spacing w:before="360"/>
        <w:rPr>
          <w:lang w:val="en-GB"/>
        </w:rPr>
      </w:pPr>
      <w:r w:rsidRPr="002D0DB7">
        <w:rPr>
          <w:lang w:val="en-GB"/>
        </w:rPr>
        <w:t>In its judgment</w:t>
      </w:r>
      <w:r w:rsidR="00B068C6">
        <w:rPr>
          <w:lang w:val="en-GB"/>
        </w:rPr>
        <w:t xml:space="preserve"> in case of </w:t>
      </w:r>
      <w:r w:rsidR="00F76583">
        <w:rPr>
          <w:i/>
          <w:iCs/>
          <w:lang w:val="en-GB"/>
        </w:rPr>
        <w:t>T.H.</w:t>
      </w:r>
      <w:r w:rsidR="00B068C6" w:rsidRPr="00B068C6">
        <w:rPr>
          <w:i/>
          <w:iCs/>
          <w:lang w:val="en-GB"/>
        </w:rPr>
        <w:t xml:space="preserve"> v. the Czech Republic</w:t>
      </w:r>
      <w:r w:rsidR="000928E3" w:rsidRPr="002D0DB7">
        <w:rPr>
          <w:lang w:val="en-GB"/>
        </w:rPr>
        <w:t xml:space="preserve"> </w:t>
      </w:r>
      <w:r w:rsidR="009C6622">
        <w:rPr>
          <w:lang w:val="en-GB"/>
        </w:rPr>
        <w:t xml:space="preserve">of </w:t>
      </w:r>
      <w:r w:rsidR="00F76583">
        <w:rPr>
          <w:lang w:val="en-GB"/>
        </w:rPr>
        <w:t>12</w:t>
      </w:r>
      <w:r w:rsidR="00A30046">
        <w:rPr>
          <w:lang w:val="en-GB"/>
        </w:rPr>
        <w:t xml:space="preserve"> June</w:t>
      </w:r>
      <w:r w:rsidR="000928E3" w:rsidRPr="002D0DB7">
        <w:rPr>
          <w:lang w:val="en-GB"/>
        </w:rPr>
        <w:t xml:space="preserve"> 202</w:t>
      </w:r>
      <w:r w:rsidR="00F76583">
        <w:rPr>
          <w:lang w:val="en-GB"/>
        </w:rPr>
        <w:t>5</w:t>
      </w:r>
      <w:r w:rsidR="00B068C6">
        <w:rPr>
          <w:lang w:val="en-GB"/>
        </w:rPr>
        <w:t xml:space="preserve">, </w:t>
      </w:r>
      <w:r w:rsidRPr="002D0DB7">
        <w:rPr>
          <w:lang w:val="en-GB"/>
        </w:rPr>
        <w:t xml:space="preserve">which became final in accordance with Article 44 § 2 </w:t>
      </w:r>
      <w:r w:rsidR="009C6622">
        <w:rPr>
          <w:lang w:val="en-GB"/>
        </w:rPr>
        <w:t>(</w:t>
      </w:r>
      <w:r w:rsidRPr="002D0DB7">
        <w:rPr>
          <w:lang w:val="en-GB"/>
        </w:rPr>
        <w:t>b) of the Convention,</w:t>
      </w:r>
      <w:r w:rsidR="00B068C6">
        <w:rPr>
          <w:lang w:val="en-GB"/>
        </w:rPr>
        <w:t xml:space="preserve"> </w:t>
      </w:r>
      <w:r w:rsidRPr="002D0DB7">
        <w:rPr>
          <w:lang w:val="en-GB"/>
        </w:rPr>
        <w:t xml:space="preserve">the European Court of Human Rights </w:t>
      </w:r>
      <w:r w:rsidR="00C0779A" w:rsidRPr="002D0DB7">
        <w:rPr>
          <w:lang w:val="en-GB"/>
        </w:rPr>
        <w:t>(“the</w:t>
      </w:r>
      <w:r w:rsidR="002C74F9" w:rsidRPr="002D0DB7">
        <w:rPr>
          <w:lang w:val="en-GB"/>
        </w:rPr>
        <w:t> </w:t>
      </w:r>
      <w:r w:rsidR="00C0779A" w:rsidRPr="002D0DB7">
        <w:rPr>
          <w:lang w:val="en-GB"/>
        </w:rPr>
        <w:t xml:space="preserve">Court”) </w:t>
      </w:r>
      <w:r w:rsidRPr="002D0DB7">
        <w:rPr>
          <w:lang w:val="en-GB"/>
        </w:rPr>
        <w:t>held that there was a</w:t>
      </w:r>
      <w:r w:rsidR="00CE292B">
        <w:rPr>
          <w:lang w:val="en-GB"/>
        </w:rPr>
        <w:t> </w:t>
      </w:r>
      <w:r w:rsidRPr="002D0DB7">
        <w:rPr>
          <w:lang w:val="en-GB"/>
        </w:rPr>
        <w:t>violation of Article</w:t>
      </w:r>
      <w:r w:rsidR="00A30046">
        <w:rPr>
          <w:lang w:val="en-GB"/>
        </w:rPr>
        <w:t xml:space="preserve"> 8</w:t>
      </w:r>
      <w:r w:rsidRPr="002D0DB7">
        <w:rPr>
          <w:lang w:val="en-GB"/>
        </w:rPr>
        <w:t xml:space="preserve"> of the Convention</w:t>
      </w:r>
      <w:r w:rsidR="0004395D">
        <w:rPr>
          <w:lang w:val="en-GB"/>
        </w:rPr>
        <w:t xml:space="preserve"> </w:t>
      </w:r>
      <w:r w:rsidR="00FF4B29">
        <w:rPr>
          <w:lang w:val="en-GB"/>
        </w:rPr>
        <w:t>because</w:t>
      </w:r>
      <w:r w:rsidR="00230C6A">
        <w:rPr>
          <w:lang w:val="en-GB"/>
        </w:rPr>
        <w:t xml:space="preserve"> the applicant</w:t>
      </w:r>
      <w:r w:rsidR="00230C6A" w:rsidRPr="002C04DD">
        <w:rPr>
          <w:lang w:val="en-GB"/>
        </w:rPr>
        <w:t>’s</w:t>
      </w:r>
      <w:r w:rsidR="00230C6A">
        <w:rPr>
          <w:lang w:val="en-GB"/>
        </w:rPr>
        <w:t xml:space="preserve"> request for legal gender change was refused due to non-fulfilment of the requirement of a surgical operation involving sterilisation.</w:t>
      </w:r>
    </w:p>
    <w:p w14:paraId="55BF2B13" w14:textId="6973D70A" w:rsidR="00625985" w:rsidRPr="00AC3A5E" w:rsidRDefault="00625985" w:rsidP="00B068C6">
      <w:pPr>
        <w:pStyle w:val="Textodstavce"/>
        <w:rPr>
          <w:lang w:val="en-GB"/>
        </w:rPr>
      </w:pPr>
      <w:r w:rsidRPr="00B80AB8">
        <w:rPr>
          <w:lang w:val="en-GB"/>
        </w:rPr>
        <w:t xml:space="preserve">The present </w:t>
      </w:r>
      <w:r w:rsidR="00AB317E" w:rsidRPr="00B80AB8">
        <w:rPr>
          <w:lang w:val="en-GB"/>
        </w:rPr>
        <w:t xml:space="preserve">action </w:t>
      </w:r>
      <w:r w:rsidR="00A30046" w:rsidRPr="00B80AB8">
        <w:rPr>
          <w:lang w:val="en-GB"/>
        </w:rPr>
        <w:t>report</w:t>
      </w:r>
      <w:r w:rsidRPr="00B80AB8">
        <w:rPr>
          <w:lang w:val="en-GB"/>
        </w:rPr>
        <w:t xml:space="preserve"> </w:t>
      </w:r>
      <w:r w:rsidR="00B068C6" w:rsidRPr="00B80AB8">
        <w:rPr>
          <w:lang w:val="en-GB"/>
        </w:rPr>
        <w:t>is</w:t>
      </w:r>
      <w:r w:rsidRPr="00B80AB8">
        <w:rPr>
          <w:lang w:val="en-GB"/>
        </w:rPr>
        <w:t xml:space="preserve"> intended to inform the</w:t>
      </w:r>
      <w:r w:rsidR="00FA478A" w:rsidRPr="00B80AB8">
        <w:rPr>
          <w:lang w:val="en-GB"/>
        </w:rPr>
        <w:t> </w:t>
      </w:r>
      <w:r w:rsidRPr="00B80AB8">
        <w:rPr>
          <w:lang w:val="en-GB"/>
        </w:rPr>
        <w:t xml:space="preserve">Committee of Ministers of </w:t>
      </w:r>
      <w:r w:rsidR="00B068C6" w:rsidRPr="00B80AB8">
        <w:rPr>
          <w:lang w:val="en-GB"/>
        </w:rPr>
        <w:t xml:space="preserve">both </w:t>
      </w:r>
      <w:r w:rsidRPr="00B80AB8">
        <w:rPr>
          <w:lang w:val="en-GB"/>
        </w:rPr>
        <w:t xml:space="preserve">individual and general measures </w:t>
      </w:r>
      <w:r w:rsidR="000928E3" w:rsidRPr="00B80AB8">
        <w:rPr>
          <w:lang w:val="en-GB"/>
        </w:rPr>
        <w:t>that ha</w:t>
      </w:r>
      <w:r w:rsidR="00510838" w:rsidRPr="00B80AB8">
        <w:rPr>
          <w:lang w:val="en-GB"/>
        </w:rPr>
        <w:t>ve</w:t>
      </w:r>
      <w:r w:rsidR="000928E3" w:rsidRPr="00B80AB8">
        <w:rPr>
          <w:lang w:val="en-GB"/>
        </w:rPr>
        <w:t xml:space="preserve"> been adopted </w:t>
      </w:r>
      <w:r w:rsidR="00F45416" w:rsidRPr="00B80AB8">
        <w:rPr>
          <w:lang w:val="en-GB"/>
        </w:rPr>
        <w:t>to</w:t>
      </w:r>
      <w:r w:rsidR="000928E3" w:rsidRPr="00B80AB8">
        <w:rPr>
          <w:lang w:val="en-GB"/>
        </w:rPr>
        <w:t xml:space="preserve"> </w:t>
      </w:r>
      <w:r w:rsidR="00AB317E" w:rsidRPr="00B80AB8">
        <w:rPr>
          <w:lang w:val="en-GB"/>
        </w:rPr>
        <w:t xml:space="preserve">properly </w:t>
      </w:r>
      <w:r w:rsidR="000928E3" w:rsidRPr="00B80AB8">
        <w:rPr>
          <w:lang w:val="en-GB"/>
        </w:rPr>
        <w:t>execute</w:t>
      </w:r>
      <w:r w:rsidRPr="00B80AB8">
        <w:rPr>
          <w:lang w:val="en-GB"/>
        </w:rPr>
        <w:t xml:space="preserve"> the </w:t>
      </w:r>
      <w:r w:rsidR="000928E3" w:rsidRPr="00B80AB8">
        <w:rPr>
          <w:lang w:val="en-GB"/>
        </w:rPr>
        <w:t>above judgment</w:t>
      </w:r>
      <w:r w:rsidRPr="00B80AB8">
        <w:rPr>
          <w:lang w:val="en-GB"/>
        </w:rPr>
        <w:t>.</w:t>
      </w:r>
    </w:p>
    <w:p w14:paraId="21E45F9B" w14:textId="77777777" w:rsidR="00AF3177" w:rsidRPr="00AC3A5E" w:rsidRDefault="00AF3177" w:rsidP="00242A3B">
      <w:pPr>
        <w:pStyle w:val="Nadpissti"/>
        <w:spacing w:before="360"/>
        <w:rPr>
          <w:lang w:val="en-GB"/>
        </w:rPr>
      </w:pPr>
      <w:r w:rsidRPr="00AC3A5E">
        <w:rPr>
          <w:lang w:val="en-GB"/>
        </w:rPr>
        <w:t xml:space="preserve">I. </w:t>
      </w:r>
      <w:r w:rsidR="00593E3E" w:rsidRPr="00AC3A5E">
        <w:rPr>
          <w:lang w:val="en-GB"/>
        </w:rPr>
        <w:t>Individual measures</w:t>
      </w:r>
    </w:p>
    <w:p w14:paraId="51347FC5" w14:textId="0FF22F9B" w:rsidR="0080464E" w:rsidRPr="002D0DB7" w:rsidRDefault="00230C6A" w:rsidP="00230C6A">
      <w:pPr>
        <w:pStyle w:val="Textodstavce"/>
        <w:rPr>
          <w:lang w:val="en-GB"/>
        </w:rPr>
      </w:pPr>
      <w:r>
        <w:rPr>
          <w:lang w:val="en-GB"/>
        </w:rPr>
        <w:t>J</w:t>
      </w:r>
      <w:r w:rsidR="0080464E" w:rsidRPr="002D0DB7">
        <w:rPr>
          <w:lang w:val="en-GB"/>
        </w:rPr>
        <w:t xml:space="preserve">ust satisfaction awarded by the Court in the amount of </w:t>
      </w:r>
      <w:r w:rsidR="004341DF">
        <w:rPr>
          <w:lang w:val="en-GB"/>
        </w:rPr>
        <w:t xml:space="preserve">EUR </w:t>
      </w:r>
      <w:r w:rsidR="000928E3" w:rsidRPr="002D0DB7">
        <w:rPr>
          <w:lang w:val="en-GB"/>
        </w:rPr>
        <w:t>2</w:t>
      </w:r>
      <w:r>
        <w:rPr>
          <w:lang w:val="en-GB"/>
        </w:rPr>
        <w:t>,</w:t>
      </w:r>
      <w:r w:rsidR="003741C0">
        <w:rPr>
          <w:lang w:val="en-GB"/>
        </w:rPr>
        <w:t>00</w:t>
      </w:r>
      <w:r w:rsidR="000928E3" w:rsidRPr="002D0DB7">
        <w:rPr>
          <w:lang w:val="en-GB"/>
        </w:rPr>
        <w:t>0</w:t>
      </w:r>
      <w:r w:rsidR="0080464E" w:rsidRPr="002D0DB7">
        <w:rPr>
          <w:lang w:val="en-GB"/>
        </w:rPr>
        <w:t xml:space="preserve"> was paid</w:t>
      </w:r>
      <w:r w:rsidR="003741C0">
        <w:rPr>
          <w:lang w:val="en-GB"/>
        </w:rPr>
        <w:t xml:space="preserve"> to the applicant</w:t>
      </w:r>
      <w:r w:rsidR="0080464E" w:rsidRPr="002D0DB7">
        <w:rPr>
          <w:lang w:val="en-GB"/>
        </w:rPr>
        <w:t xml:space="preserve"> on </w:t>
      </w:r>
      <w:r>
        <w:rPr>
          <w:lang w:val="en-GB"/>
        </w:rPr>
        <w:t>2 December 2025</w:t>
      </w:r>
      <w:r w:rsidR="000F5680" w:rsidRPr="002D0DB7">
        <w:rPr>
          <w:lang w:val="en-GB"/>
        </w:rPr>
        <w:t>.</w:t>
      </w:r>
      <w:r w:rsidR="0080464E" w:rsidRPr="002D0DB7">
        <w:rPr>
          <w:rStyle w:val="Znakapoznpodarou"/>
          <w:lang w:val="en-GB"/>
        </w:rPr>
        <w:footnoteReference w:id="1"/>
      </w:r>
    </w:p>
    <w:p w14:paraId="3326EB9D" w14:textId="73AA3CE1" w:rsidR="00444968" w:rsidRDefault="005768EA" w:rsidP="00421A33">
      <w:pPr>
        <w:pStyle w:val="Textodstavce"/>
        <w:tabs>
          <w:tab w:val="left" w:pos="7938"/>
        </w:tabs>
        <w:rPr>
          <w:lang w:val="en-GB"/>
        </w:rPr>
      </w:pPr>
      <w:r w:rsidRPr="002D0DB7">
        <w:rPr>
          <w:lang w:val="en-GB"/>
        </w:rPr>
        <w:t xml:space="preserve">The Government recall that the Constitutional Court Act offers the possibility to request </w:t>
      </w:r>
      <w:r w:rsidR="00AB317E">
        <w:rPr>
          <w:lang w:val="en-GB"/>
        </w:rPr>
        <w:t xml:space="preserve">the </w:t>
      </w:r>
      <w:r w:rsidRPr="002D0DB7">
        <w:rPr>
          <w:lang w:val="en-GB"/>
        </w:rPr>
        <w:t xml:space="preserve">reopening of the proceedings before the Constitutional Court following the judgment of </w:t>
      </w:r>
      <w:r w:rsidRPr="00EE7615">
        <w:rPr>
          <w:lang w:val="en-GB"/>
        </w:rPr>
        <w:t>the</w:t>
      </w:r>
      <w:r w:rsidR="00FA478A" w:rsidRPr="00EE7615">
        <w:rPr>
          <w:lang w:val="en-GB"/>
        </w:rPr>
        <w:t> </w:t>
      </w:r>
      <w:r w:rsidRPr="00EE7615">
        <w:rPr>
          <w:lang w:val="en-GB"/>
        </w:rPr>
        <w:t>Court.</w:t>
      </w:r>
      <w:r w:rsidRPr="00EE7615">
        <w:rPr>
          <w:rStyle w:val="Znakapoznpodarou"/>
          <w:lang w:val="en-GB"/>
        </w:rPr>
        <w:footnoteReference w:id="2"/>
      </w:r>
      <w:r w:rsidRPr="00EE7615">
        <w:rPr>
          <w:lang w:val="en-GB"/>
        </w:rPr>
        <w:t xml:space="preserve"> </w:t>
      </w:r>
      <w:r w:rsidR="00230C6A" w:rsidRPr="00EE7615">
        <w:rPr>
          <w:lang w:val="en-GB"/>
        </w:rPr>
        <w:t xml:space="preserve">The applicant </w:t>
      </w:r>
      <w:r w:rsidR="00421A33" w:rsidRPr="00EE7615">
        <w:rPr>
          <w:lang w:val="en-GB"/>
        </w:rPr>
        <w:t xml:space="preserve">has not </w:t>
      </w:r>
      <w:r w:rsidR="00230C6A" w:rsidRPr="00EE7615">
        <w:rPr>
          <w:lang w:val="en-GB"/>
        </w:rPr>
        <w:t>use</w:t>
      </w:r>
      <w:r w:rsidR="00421A33" w:rsidRPr="00EE7615">
        <w:rPr>
          <w:lang w:val="en-GB"/>
        </w:rPr>
        <w:t>d</w:t>
      </w:r>
      <w:r w:rsidR="00230C6A" w:rsidRPr="00EE7615">
        <w:rPr>
          <w:lang w:val="en-GB"/>
        </w:rPr>
        <w:t xml:space="preserve"> this opportunity</w:t>
      </w:r>
      <w:r w:rsidR="00421A33" w:rsidRPr="00EE7615">
        <w:rPr>
          <w:lang w:val="en-GB"/>
        </w:rPr>
        <w:t>.</w:t>
      </w:r>
    </w:p>
    <w:p w14:paraId="0A2E8640" w14:textId="1E5D74A6" w:rsidR="00CB574D" w:rsidRDefault="00CB574D" w:rsidP="00EE740F">
      <w:pPr>
        <w:pStyle w:val="Textodstavce"/>
        <w:rPr>
          <w:lang w:val="en-GB"/>
        </w:rPr>
      </w:pPr>
      <w:r>
        <w:rPr>
          <w:lang w:val="en-GB"/>
        </w:rPr>
        <w:t xml:space="preserve">Finally, as indicated </w:t>
      </w:r>
      <w:r w:rsidR="004F733A">
        <w:rPr>
          <w:lang w:val="en-GB"/>
        </w:rPr>
        <w:t>below</w:t>
      </w:r>
      <w:r>
        <w:rPr>
          <w:lang w:val="en-GB"/>
        </w:rPr>
        <w:t xml:space="preserve"> in part II.B of this action plan, since 1 July 2025, it has become possible for the applicant (as well as for all other trans</w:t>
      </w:r>
      <w:r w:rsidR="00E155E3">
        <w:rPr>
          <w:lang w:val="en-GB"/>
        </w:rPr>
        <w:t xml:space="preserve"> people</w:t>
      </w:r>
      <w:r>
        <w:rPr>
          <w:lang w:val="en-GB"/>
        </w:rPr>
        <w:t xml:space="preserve"> in the Czech Republic) to apply for legal gender change without having to undergo a surgical operation or sterilisation. </w:t>
      </w:r>
      <w:r w:rsidR="00421A33" w:rsidRPr="00EE7615">
        <w:rPr>
          <w:lang w:val="en-GB"/>
        </w:rPr>
        <w:t>It means that should the applicant wi</w:t>
      </w:r>
      <w:r w:rsidR="004048CE" w:rsidRPr="00EE7615">
        <w:rPr>
          <w:lang w:val="en-GB"/>
        </w:rPr>
        <w:t>s</w:t>
      </w:r>
      <w:r w:rsidR="00421A33" w:rsidRPr="00EE7615">
        <w:rPr>
          <w:lang w:val="en-GB"/>
        </w:rPr>
        <w:t xml:space="preserve">h to obtain a new gender recognition, </w:t>
      </w:r>
      <w:r w:rsidR="004048CE" w:rsidRPr="00EE7615">
        <w:rPr>
          <w:lang w:val="en-GB"/>
        </w:rPr>
        <w:t>the quickest and easiest way for her to do so after 1 July 2025 would not be to request the reopening of her proceedings before the Constitutional Court, but to file a request to this effect directly to the competent administrative authorities.</w:t>
      </w:r>
      <w:r w:rsidR="004048CE">
        <w:rPr>
          <w:lang w:val="en-GB"/>
        </w:rPr>
        <w:t xml:space="preserve"> </w:t>
      </w:r>
    </w:p>
    <w:p w14:paraId="5791F0CF" w14:textId="3254797A" w:rsidR="005768EA" w:rsidRPr="00AC3A5E" w:rsidRDefault="005768EA" w:rsidP="00994C75">
      <w:pPr>
        <w:pStyle w:val="Textodstavce"/>
        <w:rPr>
          <w:lang w:val="en-GB"/>
        </w:rPr>
      </w:pPr>
      <w:r w:rsidRPr="002D0DB7">
        <w:rPr>
          <w:lang w:val="en-GB"/>
        </w:rPr>
        <w:t xml:space="preserve">In view of </w:t>
      </w:r>
      <w:r w:rsidR="00415FB3" w:rsidRPr="002D0DB7">
        <w:rPr>
          <w:lang w:val="en-GB"/>
        </w:rPr>
        <w:t>the above, the</w:t>
      </w:r>
      <w:r w:rsidRPr="002D0DB7">
        <w:rPr>
          <w:lang w:val="en-GB"/>
        </w:rPr>
        <w:t xml:space="preserve"> Government believe that no other individual measures need to be adopted in </w:t>
      </w:r>
      <w:r w:rsidR="00415FB3" w:rsidRPr="002D0DB7">
        <w:rPr>
          <w:lang w:val="en-GB"/>
        </w:rPr>
        <w:t>the applicant’</w:t>
      </w:r>
      <w:r w:rsidR="00CB574D">
        <w:rPr>
          <w:lang w:val="en-GB"/>
        </w:rPr>
        <w:t>s</w:t>
      </w:r>
      <w:r w:rsidRPr="002D0DB7">
        <w:rPr>
          <w:lang w:val="en-GB"/>
        </w:rPr>
        <w:t xml:space="preserve"> case.</w:t>
      </w:r>
    </w:p>
    <w:p w14:paraId="4F3E4060" w14:textId="77777777" w:rsidR="00AF3177" w:rsidRPr="00AC3A5E" w:rsidRDefault="00AF3177" w:rsidP="00242A3B">
      <w:pPr>
        <w:pStyle w:val="Nadpissti"/>
        <w:spacing w:before="360"/>
        <w:rPr>
          <w:lang w:val="en-GB"/>
        </w:rPr>
      </w:pPr>
      <w:r w:rsidRPr="00AC3A5E">
        <w:rPr>
          <w:lang w:val="en-GB"/>
        </w:rPr>
        <w:t xml:space="preserve">II. </w:t>
      </w:r>
      <w:r w:rsidR="00593E3E" w:rsidRPr="00AC3A5E">
        <w:rPr>
          <w:lang w:val="en-GB"/>
        </w:rPr>
        <w:t>general measures</w:t>
      </w:r>
    </w:p>
    <w:p w14:paraId="22387AC5" w14:textId="7851BD50" w:rsidR="00C001AF" w:rsidRPr="00AB06F6" w:rsidRDefault="00C001AF" w:rsidP="00242A3B">
      <w:pPr>
        <w:pStyle w:val="Nadpispodsti"/>
        <w:spacing w:before="300"/>
        <w:rPr>
          <w:i/>
          <w:iCs/>
          <w:u w:val="none"/>
          <w:lang w:val="en-GB"/>
        </w:rPr>
      </w:pPr>
      <w:r w:rsidRPr="00AB06F6">
        <w:rPr>
          <w:i/>
          <w:iCs/>
          <w:u w:val="none"/>
          <w:lang w:val="en-GB"/>
        </w:rPr>
        <w:t xml:space="preserve">A. </w:t>
      </w:r>
      <w:r w:rsidR="00A57CA5" w:rsidRPr="00AB06F6">
        <w:rPr>
          <w:i/>
          <w:iCs/>
          <w:u w:val="none"/>
          <w:lang w:val="en-GB"/>
        </w:rPr>
        <w:t>Raising Awar</w:t>
      </w:r>
      <w:r w:rsidR="00554054">
        <w:rPr>
          <w:i/>
          <w:iCs/>
          <w:u w:val="none"/>
          <w:lang w:val="en-GB"/>
        </w:rPr>
        <w:t>e</w:t>
      </w:r>
      <w:r w:rsidR="00A57CA5" w:rsidRPr="00AB06F6">
        <w:rPr>
          <w:i/>
          <w:iCs/>
          <w:u w:val="none"/>
          <w:lang w:val="en-GB"/>
        </w:rPr>
        <w:t>ness and analysis of the judgment</w:t>
      </w:r>
    </w:p>
    <w:p w14:paraId="2F916741" w14:textId="121FB7FA" w:rsidR="00A57CA5" w:rsidRDefault="00A57CA5" w:rsidP="00510021">
      <w:pPr>
        <w:pStyle w:val="Textodstavce"/>
        <w:rPr>
          <w:lang w:val="en-GB"/>
        </w:rPr>
      </w:pPr>
      <w:r w:rsidRPr="002C04DD">
        <w:rPr>
          <w:lang w:val="en-GB"/>
        </w:rPr>
        <w:t xml:space="preserve">The Ministry of Justice </w:t>
      </w:r>
      <w:r w:rsidR="00AB317E">
        <w:rPr>
          <w:lang w:val="en-GB"/>
        </w:rPr>
        <w:t xml:space="preserve">has informed the public about the judgment immediately after </w:t>
      </w:r>
      <w:r w:rsidR="00CB574D">
        <w:rPr>
          <w:lang w:val="en-GB"/>
        </w:rPr>
        <w:t>its</w:t>
      </w:r>
      <w:r w:rsidR="00AB317E">
        <w:rPr>
          <w:lang w:val="en-GB"/>
        </w:rPr>
        <w:t xml:space="preserve"> delivery in the form of </w:t>
      </w:r>
      <w:r w:rsidR="00CB574D">
        <w:rPr>
          <w:lang w:val="en-GB"/>
        </w:rPr>
        <w:t xml:space="preserve">a </w:t>
      </w:r>
      <w:hyperlink r:id="rId8" w:history="1">
        <w:r w:rsidR="00444968" w:rsidRPr="009A498D">
          <w:rPr>
            <w:rStyle w:val="Hypertextovodkaz"/>
            <w:lang w:val="en-GB"/>
          </w:rPr>
          <w:t>press release</w:t>
        </w:r>
      </w:hyperlink>
      <w:r w:rsidR="00CB574D">
        <w:rPr>
          <w:lang w:val="en-GB"/>
        </w:rPr>
        <w:t>.</w:t>
      </w:r>
      <w:r w:rsidR="00510021">
        <w:rPr>
          <w:lang w:val="en-GB"/>
        </w:rPr>
        <w:t xml:space="preserve"> </w:t>
      </w:r>
      <w:r w:rsidR="00AB317E">
        <w:rPr>
          <w:lang w:val="en-GB"/>
        </w:rPr>
        <w:t xml:space="preserve">It </w:t>
      </w:r>
      <w:r w:rsidRPr="002C04DD">
        <w:rPr>
          <w:lang w:val="en-GB"/>
        </w:rPr>
        <w:t xml:space="preserve">has </w:t>
      </w:r>
      <w:r w:rsidR="00AB317E">
        <w:rPr>
          <w:lang w:val="en-GB"/>
        </w:rPr>
        <w:t xml:space="preserve">further </w:t>
      </w:r>
      <w:r w:rsidRPr="002C04DD">
        <w:rPr>
          <w:lang w:val="en-GB"/>
        </w:rPr>
        <w:t>published the</w:t>
      </w:r>
      <w:r w:rsidR="008A5E5E">
        <w:rPr>
          <w:lang w:val="en-GB"/>
        </w:rPr>
        <w:t xml:space="preserve"> Czech</w:t>
      </w:r>
      <w:r w:rsidRPr="002C04DD">
        <w:rPr>
          <w:lang w:val="en-GB"/>
        </w:rPr>
        <w:t xml:space="preserve"> translation of the judgment </w:t>
      </w:r>
      <w:r w:rsidR="004600EC">
        <w:rPr>
          <w:lang w:val="en-GB"/>
        </w:rPr>
        <w:t xml:space="preserve">and </w:t>
      </w:r>
      <w:r w:rsidR="00CB574D">
        <w:rPr>
          <w:lang w:val="en-GB"/>
        </w:rPr>
        <w:t>its</w:t>
      </w:r>
      <w:r w:rsidR="004600EC">
        <w:rPr>
          <w:lang w:val="en-GB"/>
        </w:rPr>
        <w:t xml:space="preserve"> summar</w:t>
      </w:r>
      <w:r w:rsidR="00CB574D">
        <w:rPr>
          <w:lang w:val="en-GB"/>
        </w:rPr>
        <w:t>y</w:t>
      </w:r>
      <w:r w:rsidR="00444968">
        <w:rPr>
          <w:lang w:val="en-GB"/>
        </w:rPr>
        <w:t xml:space="preserve"> </w:t>
      </w:r>
      <w:r w:rsidRPr="002C04DD">
        <w:rPr>
          <w:lang w:val="en-GB"/>
        </w:rPr>
        <w:t xml:space="preserve">in its online database of the </w:t>
      </w:r>
      <w:r w:rsidR="008A5E5E">
        <w:rPr>
          <w:lang w:val="en-GB"/>
        </w:rPr>
        <w:t xml:space="preserve">international human rights </w:t>
      </w:r>
      <w:r w:rsidRPr="002C04DD">
        <w:rPr>
          <w:lang w:val="en-GB"/>
        </w:rPr>
        <w:t xml:space="preserve">case law </w:t>
      </w:r>
      <w:r w:rsidRPr="002C04DD">
        <w:rPr>
          <w:lang w:val="en-GB"/>
        </w:rPr>
        <w:lastRenderedPageBreak/>
        <w:t>(</w:t>
      </w:r>
      <w:hyperlink r:id="rId9" w:history="1">
        <w:r w:rsidR="00300776" w:rsidRPr="00300776">
          <w:rPr>
            <w:rStyle w:val="Hypertextovodkaz"/>
            <w:lang w:val="en-GB"/>
          </w:rPr>
          <w:t>mezisoudy.cz</w:t>
        </w:r>
      </w:hyperlink>
      <w:r w:rsidRPr="002C04DD">
        <w:rPr>
          <w:lang w:val="en-GB"/>
        </w:rPr>
        <w:t>)</w:t>
      </w:r>
      <w:r w:rsidR="00E1497F">
        <w:rPr>
          <w:rStyle w:val="Znakapoznpodarou"/>
          <w:lang w:val="en-GB"/>
        </w:rPr>
        <w:footnoteReference w:id="3"/>
      </w:r>
      <w:r w:rsidR="00B178F5" w:rsidRPr="002C04DD">
        <w:rPr>
          <w:lang w:val="en-GB"/>
        </w:rPr>
        <w:t xml:space="preserve"> </w:t>
      </w:r>
      <w:r w:rsidRPr="002C04DD">
        <w:rPr>
          <w:lang w:val="en-GB"/>
        </w:rPr>
        <w:t xml:space="preserve">and </w:t>
      </w:r>
      <w:r w:rsidR="004600EC">
        <w:rPr>
          <w:lang w:val="en-GB"/>
        </w:rPr>
        <w:t>the</w:t>
      </w:r>
      <w:r w:rsidRPr="002C04DD">
        <w:rPr>
          <w:lang w:val="en-GB"/>
        </w:rPr>
        <w:t xml:space="preserve"> summar</w:t>
      </w:r>
      <w:r w:rsidR="00CB574D">
        <w:rPr>
          <w:lang w:val="en-GB"/>
        </w:rPr>
        <w:t>y</w:t>
      </w:r>
      <w:r w:rsidRPr="002C04DD">
        <w:rPr>
          <w:lang w:val="en-GB"/>
        </w:rPr>
        <w:t xml:space="preserve"> </w:t>
      </w:r>
      <w:r w:rsidR="004600EC">
        <w:rPr>
          <w:lang w:val="en-GB"/>
        </w:rPr>
        <w:t xml:space="preserve">also </w:t>
      </w:r>
      <w:r w:rsidRPr="002C04DD">
        <w:rPr>
          <w:lang w:val="en-GB"/>
        </w:rPr>
        <w:t>in the Government Agent’s Newsletter</w:t>
      </w:r>
      <w:r w:rsidR="002C74F9" w:rsidRPr="002C04DD">
        <w:rPr>
          <w:lang w:val="en-GB"/>
        </w:rPr>
        <w:t xml:space="preserve"> </w:t>
      </w:r>
      <w:hyperlink r:id="rId10" w:history="1">
        <w:r w:rsidR="00E61812" w:rsidRPr="00D56164">
          <w:rPr>
            <w:rStyle w:val="Hypertextovodkaz"/>
            <w:lang w:val="en-GB"/>
          </w:rPr>
          <w:t>n</w:t>
        </w:r>
        <w:r w:rsidR="002C74F9" w:rsidRPr="00D56164">
          <w:rPr>
            <w:rStyle w:val="Hypertextovodkaz"/>
            <w:lang w:val="en-GB"/>
          </w:rPr>
          <w:t xml:space="preserve">o. </w:t>
        </w:r>
        <w:r w:rsidR="004600EC" w:rsidRPr="00D56164">
          <w:rPr>
            <w:rStyle w:val="Hypertextovodkaz"/>
            <w:lang w:val="en-GB"/>
          </w:rPr>
          <w:t>4</w:t>
        </w:r>
        <w:r w:rsidR="002C74F9" w:rsidRPr="00D56164">
          <w:rPr>
            <w:rStyle w:val="Hypertextovodkaz"/>
            <w:lang w:val="en-GB"/>
          </w:rPr>
          <w:t>/202</w:t>
        </w:r>
        <w:r w:rsidR="00510021" w:rsidRPr="00D56164">
          <w:rPr>
            <w:rStyle w:val="Hypertextovodkaz"/>
            <w:lang w:val="en-GB"/>
          </w:rPr>
          <w:t>5</w:t>
        </w:r>
      </w:hyperlink>
      <w:r w:rsidR="008A5E5E">
        <w:t>.</w:t>
      </w:r>
      <w:r w:rsidR="008A5E5E">
        <w:rPr>
          <w:lang w:val="en-GB"/>
        </w:rPr>
        <w:t xml:space="preserve"> </w:t>
      </w:r>
      <w:hyperlink r:id="rId11" w:history="1"/>
      <w:r w:rsidR="0092593D">
        <w:rPr>
          <w:lang w:val="en-GB"/>
        </w:rPr>
        <w:t>In addition</w:t>
      </w:r>
      <w:r w:rsidR="00571000" w:rsidRPr="002C04DD">
        <w:rPr>
          <w:lang w:val="en-GB"/>
        </w:rPr>
        <w:t xml:space="preserve">, </w:t>
      </w:r>
      <w:r w:rsidR="00FA478A" w:rsidRPr="002C04DD">
        <w:rPr>
          <w:lang w:val="en-GB"/>
        </w:rPr>
        <w:t xml:space="preserve">both </w:t>
      </w:r>
      <w:r w:rsidR="00E61812" w:rsidRPr="002C04DD">
        <w:rPr>
          <w:lang w:val="en-GB"/>
        </w:rPr>
        <w:t xml:space="preserve">the </w:t>
      </w:r>
      <w:r w:rsidR="00571000" w:rsidRPr="002C04DD">
        <w:rPr>
          <w:lang w:val="en-GB"/>
        </w:rPr>
        <w:t>t</w:t>
      </w:r>
      <w:r w:rsidRPr="002C04DD">
        <w:rPr>
          <w:lang w:val="en-GB"/>
        </w:rPr>
        <w:t xml:space="preserve">ranslation of the judgment and </w:t>
      </w:r>
      <w:r w:rsidR="00CB574D">
        <w:rPr>
          <w:lang w:val="en-GB"/>
        </w:rPr>
        <w:t>its</w:t>
      </w:r>
      <w:r w:rsidR="008A5E5E">
        <w:rPr>
          <w:lang w:val="en-GB"/>
        </w:rPr>
        <w:t xml:space="preserve"> </w:t>
      </w:r>
      <w:r w:rsidR="000805F7" w:rsidRPr="002C04DD">
        <w:rPr>
          <w:lang w:val="en-GB"/>
        </w:rPr>
        <w:t>summar</w:t>
      </w:r>
      <w:r w:rsidR="00CB574D">
        <w:rPr>
          <w:lang w:val="en-GB"/>
        </w:rPr>
        <w:t>y</w:t>
      </w:r>
      <w:r w:rsidRPr="002C04DD">
        <w:rPr>
          <w:lang w:val="en-GB"/>
        </w:rPr>
        <w:t xml:space="preserve"> have been sent to </w:t>
      </w:r>
      <w:r w:rsidR="006A2BA3">
        <w:rPr>
          <w:lang w:val="en-GB"/>
        </w:rPr>
        <w:t xml:space="preserve">all </w:t>
      </w:r>
      <w:r w:rsidRPr="002C04DD">
        <w:rPr>
          <w:lang w:val="en-GB"/>
        </w:rPr>
        <w:t xml:space="preserve">the </w:t>
      </w:r>
      <w:r w:rsidR="006A2BA3">
        <w:rPr>
          <w:lang w:val="en-GB"/>
        </w:rPr>
        <w:t>public</w:t>
      </w:r>
      <w:r w:rsidRPr="002C04DD">
        <w:rPr>
          <w:lang w:val="en-GB"/>
        </w:rPr>
        <w:t xml:space="preserve"> authorities involved in the case</w:t>
      </w:r>
      <w:r w:rsidR="00E15047" w:rsidRPr="00C256E7">
        <w:rPr>
          <w:lang w:val="en-GB"/>
        </w:rPr>
        <w:t>.</w:t>
      </w:r>
    </w:p>
    <w:p w14:paraId="2463AFCE" w14:textId="1B3445E7" w:rsidR="005F0FB6" w:rsidRPr="00AB06F6" w:rsidRDefault="00C73CFE" w:rsidP="00242A3B">
      <w:pPr>
        <w:pStyle w:val="Nadpispodsti"/>
        <w:spacing w:before="300"/>
        <w:rPr>
          <w:i/>
          <w:iCs/>
          <w:u w:val="none"/>
          <w:lang w:val="en-GB"/>
        </w:rPr>
      </w:pPr>
      <w:r w:rsidRPr="00AB06F6">
        <w:rPr>
          <w:i/>
          <w:iCs/>
          <w:u w:val="none"/>
          <w:lang w:val="en-GB"/>
        </w:rPr>
        <w:t>B</w:t>
      </w:r>
      <w:r w:rsidR="00AC3A5E" w:rsidRPr="00AB06F6">
        <w:rPr>
          <w:i/>
          <w:iCs/>
          <w:u w:val="none"/>
          <w:lang w:val="en-GB"/>
        </w:rPr>
        <w:t xml:space="preserve">. </w:t>
      </w:r>
      <w:r w:rsidR="0012274F">
        <w:rPr>
          <w:i/>
          <w:iCs/>
          <w:u w:val="none"/>
          <w:lang w:val="en-GB"/>
        </w:rPr>
        <w:t>Changes</w:t>
      </w:r>
      <w:r w:rsidR="00CC7591">
        <w:rPr>
          <w:i/>
          <w:iCs/>
          <w:u w:val="none"/>
          <w:lang w:val="en-GB"/>
        </w:rPr>
        <w:t xml:space="preserve"> in czech l</w:t>
      </w:r>
      <w:r w:rsidR="004F733A">
        <w:rPr>
          <w:i/>
          <w:iCs/>
          <w:u w:val="none"/>
          <w:lang w:val="en-GB"/>
        </w:rPr>
        <w:t>Aw</w:t>
      </w:r>
      <w:r w:rsidR="0012274F">
        <w:rPr>
          <w:i/>
          <w:iCs/>
          <w:u w:val="none"/>
          <w:lang w:val="en-GB"/>
        </w:rPr>
        <w:t xml:space="preserve"> subsequent to the judgment</w:t>
      </w:r>
    </w:p>
    <w:p w14:paraId="510C935D" w14:textId="0C9ABFDA" w:rsidR="0012274F" w:rsidRPr="00EE7615" w:rsidRDefault="00510021" w:rsidP="00E155E3">
      <w:pPr>
        <w:pStyle w:val="Textodstavce"/>
        <w:rPr>
          <w:lang w:val="en-GB"/>
        </w:rPr>
      </w:pPr>
      <w:r>
        <w:rPr>
          <w:lang w:val="en-GB"/>
        </w:rPr>
        <w:t xml:space="preserve">As pointed out by the Court itself in </w:t>
      </w:r>
      <w:r w:rsidR="0012274F">
        <w:rPr>
          <w:lang w:val="en-GB"/>
        </w:rPr>
        <w:t>the above</w:t>
      </w:r>
      <w:r>
        <w:rPr>
          <w:lang w:val="en-GB"/>
        </w:rPr>
        <w:t xml:space="preserve"> judgment</w:t>
      </w:r>
      <w:r w:rsidR="0012274F">
        <w:rPr>
          <w:lang w:val="en-GB"/>
        </w:rPr>
        <w:t>,</w:t>
      </w:r>
      <w:r>
        <w:rPr>
          <w:lang w:val="en-GB"/>
        </w:rPr>
        <w:t xml:space="preserve"> </w:t>
      </w:r>
      <w:r w:rsidR="0012274F">
        <w:rPr>
          <w:lang w:val="en-GB"/>
        </w:rPr>
        <w:t xml:space="preserve">there has been a new development in the case-law of Czech courts after the domestic proceedings instituted by the applicant. In particular, </w:t>
      </w:r>
      <w:r w:rsidR="00E155E3">
        <w:rPr>
          <w:lang w:val="en-GB"/>
        </w:rPr>
        <w:t xml:space="preserve">the Czech Constitutional Court, in its </w:t>
      </w:r>
      <w:r w:rsidR="0012274F" w:rsidRPr="0012274F">
        <w:rPr>
          <w:lang w:val="en-GB"/>
        </w:rPr>
        <w:t xml:space="preserve">plenary judgment no. Pl. ÚS 52/23 of </w:t>
      </w:r>
      <w:r w:rsidR="00D56164" w:rsidRPr="0012274F">
        <w:rPr>
          <w:lang w:val="en-GB"/>
        </w:rPr>
        <w:t>24</w:t>
      </w:r>
      <w:r w:rsidR="00D56164">
        <w:rPr>
          <w:lang w:val="en-GB"/>
        </w:rPr>
        <w:t> </w:t>
      </w:r>
      <w:r w:rsidR="0012274F" w:rsidRPr="0012274F">
        <w:rPr>
          <w:lang w:val="en-GB"/>
        </w:rPr>
        <w:t xml:space="preserve">April 2024, </w:t>
      </w:r>
      <w:r w:rsidR="00E155E3" w:rsidRPr="0012274F">
        <w:rPr>
          <w:lang w:val="en-GB"/>
        </w:rPr>
        <w:t xml:space="preserve">decided to annul the first sentence of </w:t>
      </w:r>
      <w:r w:rsidR="004F733A">
        <w:rPr>
          <w:lang w:val="en-GB"/>
        </w:rPr>
        <w:t>Section</w:t>
      </w:r>
      <w:r w:rsidR="00E155E3" w:rsidRPr="0012274F">
        <w:rPr>
          <w:lang w:val="en-GB"/>
        </w:rPr>
        <w:t xml:space="preserve"> 29 § 1 of the Civil Code and the first sentence of </w:t>
      </w:r>
      <w:r w:rsidR="004F733A">
        <w:rPr>
          <w:lang w:val="en-GB"/>
        </w:rPr>
        <w:t>S</w:t>
      </w:r>
      <w:r w:rsidR="00E155E3" w:rsidRPr="0012274F">
        <w:rPr>
          <w:lang w:val="en-GB"/>
        </w:rPr>
        <w:t>ection 21</w:t>
      </w:r>
      <w:r w:rsidR="004F733A">
        <w:rPr>
          <w:lang w:val="en-GB"/>
        </w:rPr>
        <w:t xml:space="preserve"> § </w:t>
      </w:r>
      <w:r w:rsidR="00E155E3" w:rsidRPr="0012274F">
        <w:rPr>
          <w:lang w:val="en-GB"/>
        </w:rPr>
        <w:t xml:space="preserve">1 of the Specific Health Services Act, </w:t>
      </w:r>
      <w:r w:rsidR="00E155E3">
        <w:rPr>
          <w:lang w:val="en-GB"/>
        </w:rPr>
        <w:t xml:space="preserve">i.e. the statutory provisions </w:t>
      </w:r>
      <w:r w:rsidR="000F1210">
        <w:rPr>
          <w:lang w:val="en-GB"/>
        </w:rPr>
        <w:t>requiring</w:t>
      </w:r>
      <w:r w:rsidR="00E155E3">
        <w:rPr>
          <w:lang w:val="en-GB"/>
        </w:rPr>
        <w:t xml:space="preserve"> a surgical operation involving sterilisation in order to obtain a legal gender change. The Constitutional Court, </w:t>
      </w:r>
      <w:r w:rsidR="00E155E3" w:rsidRPr="0012274F">
        <w:rPr>
          <w:lang w:val="en-GB"/>
        </w:rPr>
        <w:t xml:space="preserve">referring </w:t>
      </w:r>
      <w:r w:rsidR="00E155E3" w:rsidRPr="0012274F">
        <w:rPr>
          <w:i/>
          <w:iCs/>
          <w:lang w:val="en-GB"/>
        </w:rPr>
        <w:t xml:space="preserve">inter alia </w:t>
      </w:r>
      <w:r w:rsidR="00E155E3" w:rsidRPr="0012274F">
        <w:rPr>
          <w:lang w:val="en-GB"/>
        </w:rPr>
        <w:t>to the Court’s case-law, considered that th</w:t>
      </w:r>
      <w:r w:rsidR="00E155E3">
        <w:rPr>
          <w:lang w:val="en-GB"/>
        </w:rPr>
        <w:t>is requirement</w:t>
      </w:r>
      <w:r w:rsidR="00E155E3" w:rsidRPr="0012274F">
        <w:rPr>
          <w:lang w:val="en-GB"/>
        </w:rPr>
        <w:t xml:space="preserve"> amounted to a significant interference with the bodily integrity of trans people and with their right to self-determination and personal autonomy. </w:t>
      </w:r>
      <w:r w:rsidR="00E155E3">
        <w:rPr>
          <w:lang w:val="en-GB"/>
        </w:rPr>
        <w:t xml:space="preserve">At the same time, the Constitutional Court suspended </w:t>
      </w:r>
      <w:r w:rsidR="00E155E3" w:rsidRPr="0012274F">
        <w:rPr>
          <w:lang w:val="en-GB"/>
        </w:rPr>
        <w:t xml:space="preserve">the enforceability of the annulment until 30 June 2025 </w:t>
      </w:r>
      <w:proofErr w:type="gramStart"/>
      <w:r w:rsidR="00E155E3" w:rsidRPr="0012274F">
        <w:rPr>
          <w:lang w:val="en-GB"/>
        </w:rPr>
        <w:t>in order to</w:t>
      </w:r>
      <w:proofErr w:type="gramEnd"/>
      <w:r w:rsidR="00E155E3" w:rsidRPr="0012274F">
        <w:rPr>
          <w:lang w:val="en-GB"/>
        </w:rPr>
        <w:t xml:space="preserve"> provide the legislature with sufficient time to adopt new legal regulations on gender recognition.</w:t>
      </w:r>
      <w:r w:rsidR="00E155E3">
        <w:rPr>
          <w:lang w:val="en-GB"/>
        </w:rPr>
        <w:t xml:space="preserve"> It also specified that the relevant provisions would </w:t>
      </w:r>
      <w:r w:rsidR="0012274F" w:rsidRPr="0012274F">
        <w:rPr>
          <w:lang w:val="en-GB"/>
        </w:rPr>
        <w:t xml:space="preserve">cease to apply on </w:t>
      </w:r>
      <w:r w:rsidR="00E155E3">
        <w:rPr>
          <w:lang w:val="en-GB"/>
        </w:rPr>
        <w:t>the above date</w:t>
      </w:r>
      <w:r w:rsidR="0012274F" w:rsidRPr="0012274F">
        <w:rPr>
          <w:lang w:val="en-GB"/>
        </w:rPr>
        <w:t xml:space="preserve">, even if no </w:t>
      </w:r>
      <w:r w:rsidR="0012274F" w:rsidRPr="00EE7615">
        <w:rPr>
          <w:lang w:val="en-GB"/>
        </w:rPr>
        <w:t xml:space="preserve">new legislation </w:t>
      </w:r>
      <w:r w:rsidR="000F1210" w:rsidRPr="00EE7615">
        <w:rPr>
          <w:lang w:val="en-GB"/>
        </w:rPr>
        <w:t>wa</w:t>
      </w:r>
      <w:r w:rsidR="0012274F" w:rsidRPr="00EE7615">
        <w:rPr>
          <w:lang w:val="en-GB"/>
        </w:rPr>
        <w:t>s adopted by that date</w:t>
      </w:r>
      <w:r w:rsidR="00B64B82" w:rsidRPr="00EE7615">
        <w:rPr>
          <w:lang w:val="en-GB"/>
        </w:rPr>
        <w:t>; in that case, legal gender change will be governed on a statutory level only by the remaining part of the relevant provision of the Civil Code, according to which this change is conditioned by a “certificate of a health service provider”</w:t>
      </w:r>
      <w:r w:rsidR="00E155E3" w:rsidRPr="00EE7615">
        <w:rPr>
          <w:lang w:val="en-GB"/>
        </w:rPr>
        <w:t xml:space="preserve"> </w:t>
      </w:r>
      <w:r w:rsidR="0012274F" w:rsidRPr="00EE7615">
        <w:rPr>
          <w:lang w:val="en-GB"/>
        </w:rPr>
        <w:t>(see § 23–24 of the Court’s judgment).</w:t>
      </w:r>
    </w:p>
    <w:p w14:paraId="54DF6222" w14:textId="68118B59" w:rsidR="00510021" w:rsidRDefault="00E155E3" w:rsidP="00B64B82">
      <w:pPr>
        <w:pStyle w:val="Textodstavce"/>
        <w:rPr>
          <w:lang w:val="en-GB"/>
        </w:rPr>
      </w:pPr>
      <w:r w:rsidRPr="00EE7615">
        <w:rPr>
          <w:lang w:val="en-GB"/>
        </w:rPr>
        <w:t>As for further domestic development</w:t>
      </w:r>
      <w:r w:rsidR="0012274F" w:rsidRPr="00EE7615">
        <w:rPr>
          <w:lang w:val="en-GB"/>
        </w:rPr>
        <w:t>, the Government</w:t>
      </w:r>
      <w:r w:rsidR="00510021" w:rsidRPr="00EE7615">
        <w:rPr>
          <w:lang w:val="en-GB"/>
        </w:rPr>
        <w:t xml:space="preserve"> </w:t>
      </w:r>
      <w:r w:rsidR="0012274F" w:rsidRPr="00EE7615">
        <w:rPr>
          <w:lang w:val="en-GB"/>
        </w:rPr>
        <w:t>note that</w:t>
      </w:r>
      <w:r w:rsidRPr="00EE7615">
        <w:rPr>
          <w:lang w:val="en-GB"/>
        </w:rPr>
        <w:t xml:space="preserve"> the respective statutory provisions indeed ceased to apply on 30 June 2025. </w:t>
      </w:r>
      <w:r w:rsidR="00B64B82" w:rsidRPr="00EE7615">
        <w:rPr>
          <w:lang w:val="en-GB"/>
        </w:rPr>
        <w:t>Given that in the meantime, no political consensus has been reached in Parliament to adopt a new regulation of this area by law, s</w:t>
      </w:r>
      <w:r w:rsidRPr="00EE7615">
        <w:rPr>
          <w:lang w:val="en-GB"/>
        </w:rPr>
        <w:t xml:space="preserve">ince 1 July 2025, the conditions for legal gender change are </w:t>
      </w:r>
      <w:r w:rsidR="00413054" w:rsidRPr="00EE7615">
        <w:rPr>
          <w:lang w:val="en-GB"/>
        </w:rPr>
        <w:t xml:space="preserve">newly </w:t>
      </w:r>
      <w:r w:rsidRPr="00EE7615">
        <w:rPr>
          <w:lang w:val="en-GB"/>
        </w:rPr>
        <w:t xml:space="preserve">specified in </w:t>
      </w:r>
      <w:r w:rsidR="00B64B82" w:rsidRPr="00EE7615">
        <w:rPr>
          <w:lang w:val="en-GB"/>
        </w:rPr>
        <w:t xml:space="preserve">the following </w:t>
      </w:r>
      <w:r w:rsidRPr="00EE7615">
        <w:rPr>
          <w:lang w:val="en-GB"/>
        </w:rPr>
        <w:t>two</w:t>
      </w:r>
      <w:r>
        <w:rPr>
          <w:lang w:val="en-GB"/>
        </w:rPr>
        <w:t xml:space="preserve"> regulations:</w:t>
      </w:r>
    </w:p>
    <w:p w14:paraId="58F6D0DC" w14:textId="7F6C9B18" w:rsidR="00E155E3" w:rsidRDefault="00E155E3" w:rsidP="00E155E3">
      <w:pPr>
        <w:pStyle w:val="Textodstavce"/>
        <w:numPr>
          <w:ilvl w:val="0"/>
          <w:numId w:val="7"/>
        </w:numPr>
        <w:rPr>
          <w:lang w:val="en-GB"/>
        </w:rPr>
      </w:pPr>
      <w:r w:rsidRPr="00530EF8">
        <w:rPr>
          <w:i/>
          <w:iCs/>
          <w:lang w:val="en-GB"/>
        </w:rPr>
        <w:t>first</w:t>
      </w:r>
      <w:r>
        <w:rPr>
          <w:lang w:val="en-GB"/>
        </w:rPr>
        <w:t xml:space="preserve">, a methodological guideline issued by the Ministry of Health, available </w:t>
      </w:r>
      <w:hyperlink r:id="rId12" w:history="1">
        <w:r w:rsidRPr="00530EF8">
          <w:rPr>
            <w:rStyle w:val="Hypertextovodkaz"/>
            <w:lang w:val="en-GB"/>
          </w:rPr>
          <w:t>here</w:t>
        </w:r>
      </w:hyperlink>
      <w:r>
        <w:rPr>
          <w:lang w:val="en-GB"/>
        </w:rPr>
        <w:t>;</w:t>
      </w:r>
      <w:r w:rsidR="00530EF8">
        <w:rPr>
          <w:lang w:val="en-GB"/>
        </w:rPr>
        <w:t xml:space="preserve"> and</w:t>
      </w:r>
    </w:p>
    <w:p w14:paraId="4F7987BA" w14:textId="033736A6" w:rsidR="00530EF8" w:rsidRPr="00530EF8" w:rsidRDefault="00E155E3" w:rsidP="00530EF8">
      <w:pPr>
        <w:pStyle w:val="Textodstavce"/>
        <w:numPr>
          <w:ilvl w:val="0"/>
          <w:numId w:val="7"/>
        </w:numPr>
        <w:rPr>
          <w:lang w:val="en-GB"/>
        </w:rPr>
      </w:pPr>
      <w:r w:rsidRPr="00530EF8">
        <w:rPr>
          <w:i/>
          <w:iCs/>
          <w:lang w:val="en-GB"/>
        </w:rPr>
        <w:t>second</w:t>
      </w:r>
      <w:r>
        <w:rPr>
          <w:lang w:val="en-GB"/>
        </w:rPr>
        <w:t xml:space="preserve">, a methodological guideline issued by the Ministry of </w:t>
      </w:r>
      <w:r w:rsidR="00741808">
        <w:rPr>
          <w:lang w:val="en-GB"/>
        </w:rPr>
        <w:t>Interior</w:t>
      </w:r>
      <w:r w:rsidR="00530EF8">
        <w:rPr>
          <w:lang w:val="en-GB"/>
        </w:rPr>
        <w:t xml:space="preserve">, available </w:t>
      </w:r>
      <w:hyperlink r:id="rId13" w:history="1">
        <w:r w:rsidR="00530EF8" w:rsidRPr="00530EF8">
          <w:rPr>
            <w:rStyle w:val="Hypertextovodkaz"/>
            <w:lang w:val="en-GB"/>
          </w:rPr>
          <w:t>here</w:t>
        </w:r>
      </w:hyperlink>
      <w:r w:rsidR="00530EF8">
        <w:rPr>
          <w:lang w:val="en-GB"/>
        </w:rPr>
        <w:t>.</w:t>
      </w:r>
    </w:p>
    <w:p w14:paraId="1CBAE966" w14:textId="787620B7" w:rsidR="004048CE" w:rsidRPr="00EE7615" w:rsidRDefault="00530EF8" w:rsidP="00530EF8">
      <w:pPr>
        <w:pStyle w:val="Textodstavce"/>
        <w:rPr>
          <w:lang w:val="en-GB"/>
        </w:rPr>
      </w:pPr>
      <w:r w:rsidRPr="00EE7615">
        <w:rPr>
          <w:lang w:val="en-GB"/>
        </w:rPr>
        <w:t>According to these regulations,</w:t>
      </w:r>
      <w:r w:rsidR="004048CE" w:rsidRPr="00EE7615">
        <w:rPr>
          <w:lang w:val="en-GB"/>
        </w:rPr>
        <w:t xml:space="preserve"> the process of gender change in the Czech Republic consists of the following three stages</w:t>
      </w:r>
      <w:r w:rsidR="00413054" w:rsidRPr="00EE7615">
        <w:rPr>
          <w:lang w:val="en-GB"/>
        </w:rPr>
        <w:t xml:space="preserve"> (the first two of them being mandatory and the last one being optional)</w:t>
      </w:r>
      <w:r w:rsidR="004048CE" w:rsidRPr="00EE7615">
        <w:rPr>
          <w:lang w:val="en-GB"/>
        </w:rPr>
        <w:t>:</w:t>
      </w:r>
    </w:p>
    <w:p w14:paraId="42F61168" w14:textId="24319DA8" w:rsidR="004048CE" w:rsidRPr="00EE7615" w:rsidRDefault="004048CE" w:rsidP="004048CE">
      <w:pPr>
        <w:pStyle w:val="Textodstavce"/>
        <w:numPr>
          <w:ilvl w:val="0"/>
          <w:numId w:val="7"/>
        </w:numPr>
        <w:rPr>
          <w:lang w:val="en-GB"/>
        </w:rPr>
      </w:pPr>
      <w:r w:rsidRPr="00EE7615">
        <w:rPr>
          <w:b/>
          <w:bCs/>
          <w:i/>
          <w:iCs/>
          <w:lang w:val="en-GB"/>
        </w:rPr>
        <w:t>First</w:t>
      </w:r>
      <w:r w:rsidRPr="00EE7615">
        <w:rPr>
          <w:b/>
          <w:bCs/>
          <w:lang w:val="en-GB"/>
        </w:rPr>
        <w:t xml:space="preserve"> </w:t>
      </w:r>
      <w:r w:rsidRPr="00EE7615">
        <w:rPr>
          <w:b/>
          <w:bCs/>
          <w:i/>
          <w:iCs/>
          <w:lang w:val="en-GB"/>
        </w:rPr>
        <w:t>stage: beginning of the treatment for gender change.</w:t>
      </w:r>
      <w:r w:rsidRPr="00EE7615">
        <w:rPr>
          <w:i/>
          <w:iCs/>
          <w:lang w:val="en-GB"/>
        </w:rPr>
        <w:t xml:space="preserve"> </w:t>
      </w:r>
      <w:r w:rsidR="00BA6947" w:rsidRPr="00EE7615">
        <w:rPr>
          <w:lang w:val="en-GB"/>
        </w:rPr>
        <w:t xml:space="preserve">A trans person comes to a doctor with a specialisation in sexology. The doctor issues them an official document titled “certificate of a health service provider on beginning of treatment for gender change”. </w:t>
      </w:r>
      <w:proofErr w:type="gramStart"/>
      <w:r w:rsidR="00BA6947" w:rsidRPr="00EE7615">
        <w:rPr>
          <w:lang w:val="en-GB"/>
        </w:rPr>
        <w:t>On the basis of</w:t>
      </w:r>
      <w:proofErr w:type="gramEnd"/>
      <w:r w:rsidR="00BA6947" w:rsidRPr="00EE7615">
        <w:rPr>
          <w:lang w:val="en-GB"/>
        </w:rPr>
        <w:t xml:space="preserve"> this document, the trans person may ask the registry office of citizens (“</w:t>
      </w:r>
      <w:proofErr w:type="spellStart"/>
      <w:r w:rsidR="00BA6947" w:rsidRPr="00EE7615">
        <w:rPr>
          <w:i/>
          <w:iCs/>
          <w:lang w:val="en-GB"/>
        </w:rPr>
        <w:t>matriční</w:t>
      </w:r>
      <w:proofErr w:type="spellEnd"/>
      <w:r w:rsidR="00BA6947" w:rsidRPr="00EE7615">
        <w:rPr>
          <w:i/>
          <w:iCs/>
          <w:lang w:val="en-GB"/>
        </w:rPr>
        <w:t xml:space="preserve"> </w:t>
      </w:r>
      <w:proofErr w:type="spellStart"/>
      <w:r w:rsidR="00BA6947" w:rsidRPr="00EE7615">
        <w:rPr>
          <w:i/>
          <w:iCs/>
          <w:lang w:val="en-GB"/>
        </w:rPr>
        <w:t>úřad</w:t>
      </w:r>
      <w:proofErr w:type="spellEnd"/>
      <w:r w:rsidR="00BA6947" w:rsidRPr="00EE7615">
        <w:rPr>
          <w:lang w:val="en-GB"/>
        </w:rPr>
        <w:t>”) to change their name into a neutral form. This has no consequences for the legal gender of the person concerned.</w:t>
      </w:r>
    </w:p>
    <w:p w14:paraId="7FB7D2D6" w14:textId="1FC7836B" w:rsidR="00B3590A" w:rsidRPr="00EE7615" w:rsidRDefault="004048CE" w:rsidP="004048CE">
      <w:pPr>
        <w:pStyle w:val="Textodstavce"/>
        <w:numPr>
          <w:ilvl w:val="0"/>
          <w:numId w:val="7"/>
        </w:numPr>
        <w:rPr>
          <w:lang w:val="en-GB"/>
        </w:rPr>
      </w:pPr>
      <w:r w:rsidRPr="00EE7615">
        <w:rPr>
          <w:b/>
          <w:bCs/>
          <w:i/>
          <w:iCs/>
          <w:lang w:val="en-GB"/>
        </w:rPr>
        <w:lastRenderedPageBreak/>
        <w:t>Second stage:</w:t>
      </w:r>
      <w:r w:rsidR="00BA6947" w:rsidRPr="00EE7615">
        <w:rPr>
          <w:b/>
          <w:bCs/>
          <w:i/>
          <w:iCs/>
          <w:lang w:val="en-GB"/>
        </w:rPr>
        <w:t xml:space="preserve"> confirmation of a diagnosis of gender dysphoria.</w:t>
      </w:r>
      <w:r w:rsidR="00BA6947" w:rsidRPr="00EE7615">
        <w:rPr>
          <w:i/>
          <w:iCs/>
          <w:lang w:val="en-GB"/>
        </w:rPr>
        <w:t xml:space="preserve"> </w:t>
      </w:r>
      <w:r w:rsidR="00BA6947" w:rsidRPr="00EE7615">
        <w:rPr>
          <w:lang w:val="en-GB"/>
        </w:rPr>
        <w:t xml:space="preserve">The sexologist examines the trans person </w:t>
      </w:r>
      <w:proofErr w:type="gramStart"/>
      <w:r w:rsidR="00BA6947" w:rsidRPr="00EE7615">
        <w:rPr>
          <w:lang w:val="en-GB"/>
        </w:rPr>
        <w:t>in order to</w:t>
      </w:r>
      <w:proofErr w:type="gramEnd"/>
      <w:r w:rsidR="00BA6947" w:rsidRPr="00EE7615">
        <w:rPr>
          <w:lang w:val="en-GB"/>
        </w:rPr>
        <w:t xml:space="preserve"> confirm the diagnosis of gender dysphoria. Th</w:t>
      </w:r>
      <w:r w:rsidR="00B3590A" w:rsidRPr="00EE7615">
        <w:rPr>
          <w:lang w:val="en-GB"/>
        </w:rPr>
        <w:t>e recommended duration of this stage</w:t>
      </w:r>
      <w:r w:rsidR="00BA6947" w:rsidRPr="00EE7615">
        <w:rPr>
          <w:lang w:val="en-GB"/>
        </w:rPr>
        <w:t xml:space="preserve"> </w:t>
      </w:r>
      <w:r w:rsidR="00F51C17" w:rsidRPr="00EE7615">
        <w:rPr>
          <w:lang w:val="en-GB"/>
        </w:rPr>
        <w:t xml:space="preserve">is </w:t>
      </w:r>
      <w:r w:rsidR="00BA6947" w:rsidRPr="00EE7615">
        <w:rPr>
          <w:lang w:val="en-GB"/>
        </w:rPr>
        <w:t>between 6 and 12 months</w:t>
      </w:r>
      <w:r w:rsidR="00B3590A" w:rsidRPr="00EE7615">
        <w:rPr>
          <w:lang w:val="en-GB"/>
        </w:rPr>
        <w:t xml:space="preserve"> and can involve further specialized examinations of the trans person concerned, e.g. by a clinical psychologist, psychiatrist </w:t>
      </w:r>
      <w:r w:rsidR="00413054" w:rsidRPr="00EE7615">
        <w:rPr>
          <w:lang w:val="en-GB"/>
        </w:rPr>
        <w:t>or</w:t>
      </w:r>
      <w:r w:rsidR="00B3590A" w:rsidRPr="00EE7615">
        <w:rPr>
          <w:lang w:val="en-GB"/>
        </w:rPr>
        <w:t xml:space="preserve"> endocrinologist. Once the diagnosis</w:t>
      </w:r>
      <w:r w:rsidR="00413054" w:rsidRPr="00EE7615">
        <w:rPr>
          <w:lang w:val="en-GB"/>
        </w:rPr>
        <w:t xml:space="preserve"> of gender dysphoria</w:t>
      </w:r>
      <w:r w:rsidR="00B3590A" w:rsidRPr="00EE7615">
        <w:rPr>
          <w:lang w:val="en-GB"/>
        </w:rPr>
        <w:t xml:space="preserve"> is confirmed, the sexologist issues an official document titled “certificate of a health service</w:t>
      </w:r>
      <w:r w:rsidR="00B3590A" w:rsidRPr="00EE7615">
        <w:t xml:space="preserve"> provider</w:t>
      </w:r>
      <w:r w:rsidR="00B3590A" w:rsidRPr="00EE7615">
        <w:rPr>
          <w:lang w:val="en-GB"/>
        </w:rPr>
        <w:t xml:space="preserve"> on termination of treatment for gender change”. After submitting this certificate to the registry office of citizens, th</w:t>
      </w:r>
      <w:r w:rsidR="00413054" w:rsidRPr="00EE7615">
        <w:rPr>
          <w:lang w:val="en-GB"/>
        </w:rPr>
        <w:t>e</w:t>
      </w:r>
      <w:r w:rsidR="00B3590A" w:rsidRPr="00EE7615">
        <w:rPr>
          <w:lang w:val="en-GB"/>
        </w:rPr>
        <w:t xml:space="preserve"> office makes an additional entry to record the legal gender change of the person concerned. In other words, </w:t>
      </w:r>
      <w:proofErr w:type="gramStart"/>
      <w:r w:rsidR="00B3590A" w:rsidRPr="00EE7615">
        <w:rPr>
          <w:lang w:val="en-GB"/>
        </w:rPr>
        <w:t>on the basis of</w:t>
      </w:r>
      <w:proofErr w:type="gramEnd"/>
      <w:r w:rsidR="00B3590A" w:rsidRPr="00EE7615">
        <w:rPr>
          <w:lang w:val="en-GB"/>
        </w:rPr>
        <w:t xml:space="preserve"> the new regulations, the only condition of legal gender change is to obtain an official medical diagnosis of gender dysphoria.</w:t>
      </w:r>
    </w:p>
    <w:p w14:paraId="5EEF053C" w14:textId="16C3B102" w:rsidR="00530EF8" w:rsidRPr="00EE7615" w:rsidRDefault="004048CE" w:rsidP="00EB0109">
      <w:pPr>
        <w:pStyle w:val="Textodstavce"/>
        <w:numPr>
          <w:ilvl w:val="0"/>
          <w:numId w:val="7"/>
        </w:numPr>
        <w:rPr>
          <w:lang w:val="en-GB"/>
        </w:rPr>
      </w:pPr>
      <w:r w:rsidRPr="00EE7615">
        <w:rPr>
          <w:b/>
          <w:bCs/>
          <w:i/>
          <w:iCs/>
          <w:lang w:val="en-GB"/>
        </w:rPr>
        <w:t>Third stage:</w:t>
      </w:r>
      <w:r w:rsidR="00B3590A" w:rsidRPr="00EE7615">
        <w:rPr>
          <w:b/>
          <w:bCs/>
          <w:i/>
          <w:iCs/>
          <w:lang w:val="en-GB"/>
        </w:rPr>
        <w:t xml:space="preserve"> </w:t>
      </w:r>
      <w:r w:rsidR="00EB0109" w:rsidRPr="00EE7615">
        <w:rPr>
          <w:b/>
          <w:bCs/>
          <w:i/>
          <w:iCs/>
          <w:lang w:val="en-GB"/>
        </w:rPr>
        <w:t>additional medical treatment.</w:t>
      </w:r>
      <w:r w:rsidR="00EB0109" w:rsidRPr="00EE7615">
        <w:rPr>
          <w:i/>
          <w:iCs/>
          <w:lang w:val="en-GB"/>
        </w:rPr>
        <w:t xml:space="preserve"> </w:t>
      </w:r>
      <w:r w:rsidR="00EB0109" w:rsidRPr="00EE7615">
        <w:rPr>
          <w:lang w:val="en-GB"/>
        </w:rPr>
        <w:t xml:space="preserve">This stage can involve surgical interventions, hormonal treatment, voice therapy, psychological or psychiatric counselling, or other relevant treatment. According to the new regulations, this whole stage is </w:t>
      </w:r>
      <w:r w:rsidR="005A5372" w:rsidRPr="00EE7615">
        <w:rPr>
          <w:b/>
          <w:bCs/>
          <w:lang w:val="en-GB"/>
        </w:rPr>
        <w:t>entirely optional</w:t>
      </w:r>
      <w:r w:rsidR="005A5372" w:rsidRPr="00EE7615">
        <w:rPr>
          <w:lang w:val="en-GB"/>
        </w:rPr>
        <w:t xml:space="preserve">, i.e. </w:t>
      </w:r>
      <w:r w:rsidR="00EB0109" w:rsidRPr="00EE7615">
        <w:rPr>
          <w:lang w:val="en-GB"/>
        </w:rPr>
        <w:t xml:space="preserve">any of these interventions are </w:t>
      </w:r>
      <w:r w:rsidR="005A5372" w:rsidRPr="00EE7615">
        <w:rPr>
          <w:lang w:val="en-GB"/>
        </w:rPr>
        <w:t xml:space="preserve">carried out only </w:t>
      </w:r>
      <w:r w:rsidR="00FD35DB" w:rsidRPr="00EE7615">
        <w:rPr>
          <w:lang w:val="en-GB"/>
        </w:rPr>
        <w:t xml:space="preserve">in case – </w:t>
      </w:r>
      <w:r w:rsidR="005A5372" w:rsidRPr="00EE7615">
        <w:rPr>
          <w:lang w:val="en-GB"/>
        </w:rPr>
        <w:t xml:space="preserve">and to the extent </w:t>
      </w:r>
      <w:r w:rsidR="00FD35DB" w:rsidRPr="00EE7615">
        <w:rPr>
          <w:lang w:val="en-GB"/>
        </w:rPr>
        <w:t xml:space="preserve">– </w:t>
      </w:r>
      <w:r w:rsidR="00EB0109" w:rsidRPr="00EE7615">
        <w:rPr>
          <w:lang w:val="en-GB"/>
        </w:rPr>
        <w:t>t</w:t>
      </w:r>
      <w:r w:rsidR="005A5372" w:rsidRPr="00EE7615">
        <w:rPr>
          <w:lang w:val="en-GB"/>
        </w:rPr>
        <w:t>hat the person in question wishes to undergo them</w:t>
      </w:r>
      <w:r w:rsidR="00EB0109" w:rsidRPr="00EE7615">
        <w:rPr>
          <w:lang w:val="en-GB"/>
        </w:rPr>
        <w:t xml:space="preserve">, and they </w:t>
      </w:r>
      <w:r w:rsidR="005A5372" w:rsidRPr="00EE7615">
        <w:rPr>
          <w:lang w:val="en-GB"/>
        </w:rPr>
        <w:t>no longer represent a requirement for legal gender change</w:t>
      </w:r>
      <w:r w:rsidR="00FD35DB" w:rsidRPr="00EE7615">
        <w:rPr>
          <w:lang w:val="en-GB"/>
        </w:rPr>
        <w:t xml:space="preserve"> under Czech law</w:t>
      </w:r>
      <w:r w:rsidR="005A5372" w:rsidRPr="00EE7615">
        <w:rPr>
          <w:lang w:val="en-GB"/>
        </w:rPr>
        <w:t>.</w:t>
      </w:r>
    </w:p>
    <w:p w14:paraId="0DA25197" w14:textId="66B5F9A1" w:rsidR="005A5372" w:rsidRDefault="005A5372" w:rsidP="00FD35DB">
      <w:pPr>
        <w:pStyle w:val="Textodstavce"/>
        <w:rPr>
          <w:lang w:val="en-GB"/>
        </w:rPr>
      </w:pPr>
      <w:r>
        <w:rPr>
          <w:lang w:val="en-GB"/>
        </w:rPr>
        <w:t xml:space="preserve">In January 2026, the Ministry of Interior provided following data </w:t>
      </w:r>
      <w:r w:rsidR="00FD35DB">
        <w:rPr>
          <w:lang w:val="en-GB"/>
        </w:rPr>
        <w:t>concerning the number of cases in which a legal gender change was carried out in the registr</w:t>
      </w:r>
      <w:r w:rsidR="005F5E3B">
        <w:rPr>
          <w:lang w:val="en-GB"/>
        </w:rPr>
        <w:t>y</w:t>
      </w:r>
      <w:r w:rsidR="00FD35DB">
        <w:rPr>
          <w:lang w:val="en-GB"/>
        </w:rPr>
        <w:t xml:space="preserve"> offices of citizens in the Czech Republic:</w:t>
      </w:r>
    </w:p>
    <w:p w14:paraId="027C7A7C" w14:textId="605302F8" w:rsidR="00FD35DB" w:rsidRDefault="00FD35DB" w:rsidP="00FD35DB">
      <w:pPr>
        <w:pStyle w:val="Textodstavce"/>
        <w:numPr>
          <w:ilvl w:val="0"/>
          <w:numId w:val="7"/>
        </w:numPr>
        <w:rPr>
          <w:lang w:val="en-GB"/>
        </w:rPr>
      </w:pPr>
      <w:r>
        <w:rPr>
          <w:lang w:val="en-GB"/>
        </w:rPr>
        <w:t xml:space="preserve">year 2022: </w:t>
      </w:r>
      <w:r w:rsidRPr="00CE3EFB">
        <w:rPr>
          <w:b/>
          <w:bCs/>
          <w:lang w:val="en-GB"/>
        </w:rPr>
        <w:t>172</w:t>
      </w:r>
      <w:r>
        <w:rPr>
          <w:lang w:val="en-GB"/>
        </w:rPr>
        <w:t xml:space="preserve"> cases</w:t>
      </w:r>
    </w:p>
    <w:p w14:paraId="7C4CCC0F" w14:textId="2B15044F" w:rsidR="00FD35DB" w:rsidRDefault="00FD35DB" w:rsidP="00FD35DB">
      <w:pPr>
        <w:pStyle w:val="Textodstavce"/>
        <w:numPr>
          <w:ilvl w:val="0"/>
          <w:numId w:val="7"/>
        </w:numPr>
        <w:rPr>
          <w:lang w:val="en-GB"/>
        </w:rPr>
      </w:pPr>
      <w:r>
        <w:rPr>
          <w:lang w:val="en-GB"/>
        </w:rPr>
        <w:t xml:space="preserve">year 2023: </w:t>
      </w:r>
      <w:r w:rsidRPr="00CE3EFB">
        <w:rPr>
          <w:b/>
          <w:bCs/>
          <w:lang w:val="en-GB"/>
        </w:rPr>
        <w:t>188</w:t>
      </w:r>
      <w:r>
        <w:rPr>
          <w:lang w:val="en-GB"/>
        </w:rPr>
        <w:t xml:space="preserve"> cases</w:t>
      </w:r>
    </w:p>
    <w:p w14:paraId="78178395" w14:textId="0F683063" w:rsidR="00FD35DB" w:rsidRDefault="00FD35DB" w:rsidP="00FD35DB">
      <w:pPr>
        <w:pStyle w:val="Textodstavce"/>
        <w:numPr>
          <w:ilvl w:val="0"/>
          <w:numId w:val="7"/>
        </w:numPr>
        <w:rPr>
          <w:lang w:val="en-GB"/>
        </w:rPr>
      </w:pPr>
      <w:r>
        <w:rPr>
          <w:lang w:val="en-GB"/>
        </w:rPr>
        <w:t xml:space="preserve">year 2024: </w:t>
      </w:r>
      <w:r w:rsidRPr="00CE3EFB">
        <w:rPr>
          <w:b/>
          <w:bCs/>
          <w:lang w:val="en-GB"/>
        </w:rPr>
        <w:t>164</w:t>
      </w:r>
      <w:r>
        <w:rPr>
          <w:lang w:val="en-GB"/>
        </w:rPr>
        <w:t xml:space="preserve"> cases</w:t>
      </w:r>
    </w:p>
    <w:p w14:paraId="671077D3" w14:textId="39E7DF24" w:rsidR="00FD35DB" w:rsidRPr="007A6E32" w:rsidRDefault="00FD35DB" w:rsidP="007A6E32">
      <w:pPr>
        <w:pStyle w:val="Textodstavce"/>
        <w:numPr>
          <w:ilvl w:val="0"/>
          <w:numId w:val="7"/>
        </w:numPr>
        <w:rPr>
          <w:lang w:val="en-GB"/>
        </w:rPr>
      </w:pPr>
      <w:r>
        <w:rPr>
          <w:lang w:val="en-GB"/>
        </w:rPr>
        <w:t xml:space="preserve">year 2025: in the period from 1 January until 30 June – </w:t>
      </w:r>
      <w:r w:rsidRPr="00CE3EFB">
        <w:rPr>
          <w:b/>
          <w:bCs/>
          <w:lang w:val="en-GB"/>
        </w:rPr>
        <w:t xml:space="preserve">90 </w:t>
      </w:r>
      <w:r>
        <w:rPr>
          <w:lang w:val="en-GB"/>
        </w:rPr>
        <w:t>cases</w:t>
      </w:r>
      <w:r w:rsidR="007A6E32">
        <w:rPr>
          <w:lang w:val="en-GB"/>
        </w:rPr>
        <w:t xml:space="preserve">; </w:t>
      </w:r>
      <w:r w:rsidRPr="007A6E32">
        <w:rPr>
          <w:lang w:val="en-GB"/>
        </w:rPr>
        <w:t xml:space="preserve">in the period from 1 July until 31 December – </w:t>
      </w:r>
      <w:r w:rsidRPr="00CE3EFB">
        <w:rPr>
          <w:b/>
          <w:bCs/>
          <w:lang w:val="en-GB"/>
        </w:rPr>
        <w:t>955</w:t>
      </w:r>
      <w:r w:rsidRPr="007A6E32">
        <w:rPr>
          <w:lang w:val="en-GB"/>
        </w:rPr>
        <w:t xml:space="preserve"> cases </w:t>
      </w:r>
    </w:p>
    <w:p w14:paraId="6C514B09" w14:textId="369C2757" w:rsidR="00510021" w:rsidRDefault="005F5E3B" w:rsidP="005F5E3B">
      <w:pPr>
        <w:pStyle w:val="Textodstavce"/>
        <w:rPr>
          <w:lang w:val="en-GB"/>
        </w:rPr>
      </w:pPr>
      <w:r>
        <w:rPr>
          <w:lang w:val="en-GB"/>
        </w:rPr>
        <w:t xml:space="preserve">The statistics of the Ministry of Interior do not differentiate between cases of legal gender change </w:t>
      </w:r>
      <w:proofErr w:type="gramStart"/>
      <w:r>
        <w:rPr>
          <w:lang w:val="en-GB"/>
        </w:rPr>
        <w:t>on the basis of</w:t>
      </w:r>
      <w:proofErr w:type="gramEnd"/>
      <w:r>
        <w:rPr>
          <w:lang w:val="en-GB"/>
        </w:rPr>
        <w:t xml:space="preserve"> a medical diagnosis, and cases following a surgical operation. However, they clearly show</w:t>
      </w:r>
      <w:r w:rsidR="007C407D">
        <w:rPr>
          <w:lang w:val="en-GB"/>
        </w:rPr>
        <w:t xml:space="preserve"> that there has been a </w:t>
      </w:r>
      <w:r>
        <w:rPr>
          <w:lang w:val="en-GB"/>
        </w:rPr>
        <w:t>very sharp</w:t>
      </w:r>
      <w:r w:rsidR="007C407D">
        <w:rPr>
          <w:lang w:val="en-GB"/>
        </w:rPr>
        <w:t xml:space="preserve"> increase of cases of legal gender change after 1 July 2025, i.e. after the new regulation entered into force</w:t>
      </w:r>
      <w:r w:rsidR="008D1B45">
        <w:rPr>
          <w:lang w:val="en-GB"/>
        </w:rPr>
        <w:t xml:space="preserve">. This </w:t>
      </w:r>
      <w:r w:rsidR="00CE3EFB">
        <w:rPr>
          <w:lang w:val="en-GB"/>
        </w:rPr>
        <w:t>indicates</w:t>
      </w:r>
      <w:r w:rsidR="008D1B45">
        <w:rPr>
          <w:lang w:val="en-GB"/>
        </w:rPr>
        <w:t xml:space="preserve"> that after the above </w:t>
      </w:r>
      <w:r w:rsidR="00CE3EFB">
        <w:rPr>
          <w:lang w:val="en-GB"/>
        </w:rPr>
        <w:t>date</w:t>
      </w:r>
      <w:r w:rsidR="008D1B45">
        <w:rPr>
          <w:lang w:val="en-GB"/>
        </w:rPr>
        <w:t xml:space="preserve">, the cases of legal gender change do not cover only trans people </w:t>
      </w:r>
      <w:r>
        <w:rPr>
          <w:lang w:val="en-GB"/>
        </w:rPr>
        <w:t>after a</w:t>
      </w:r>
      <w:r w:rsidR="008D1B45">
        <w:rPr>
          <w:lang w:val="en-GB"/>
        </w:rPr>
        <w:t xml:space="preserve"> surgical operation, but also – and mainly – people issued with a diagnosis of gender dysphoria who did not undergo a surgical operation. </w:t>
      </w:r>
      <w:bookmarkStart w:id="0" w:name="_Hlk208506663"/>
    </w:p>
    <w:p w14:paraId="261E45BF" w14:textId="26D64C35" w:rsidR="00EB0109" w:rsidRDefault="00EB0109" w:rsidP="005F5E3B">
      <w:pPr>
        <w:pStyle w:val="Textodstavce"/>
        <w:rPr>
          <w:lang w:val="en-GB"/>
        </w:rPr>
      </w:pPr>
      <w:r w:rsidRPr="00EE7615">
        <w:rPr>
          <w:lang w:val="en-GB"/>
        </w:rPr>
        <w:t>The Government are of the opinion that the above data prove that the new system of legal gender change, which</w:t>
      </w:r>
      <w:r w:rsidR="00BD2032" w:rsidRPr="00EE7615">
        <w:rPr>
          <w:lang w:val="en-GB"/>
        </w:rPr>
        <w:t>, in addition to succinct legal regulation,</w:t>
      </w:r>
      <w:r w:rsidRPr="00EE7615">
        <w:rPr>
          <w:lang w:val="en-GB"/>
        </w:rPr>
        <w:t xml:space="preserve"> </w:t>
      </w:r>
      <w:r w:rsidR="00BD2032" w:rsidRPr="00EE7615">
        <w:rPr>
          <w:lang w:val="en-GB"/>
        </w:rPr>
        <w:t xml:space="preserve">is based on detailed methodological guidelines, and which </w:t>
      </w:r>
      <w:r w:rsidR="00413054" w:rsidRPr="00EE7615">
        <w:rPr>
          <w:lang w:val="en-GB"/>
        </w:rPr>
        <w:t xml:space="preserve">subjects </w:t>
      </w:r>
      <w:r w:rsidRPr="00EE7615">
        <w:rPr>
          <w:lang w:val="en-GB"/>
        </w:rPr>
        <w:t xml:space="preserve">this change </w:t>
      </w:r>
      <w:r w:rsidR="00926868" w:rsidRPr="00EE7615">
        <w:rPr>
          <w:lang w:val="en-GB"/>
        </w:rPr>
        <w:t>sole</w:t>
      </w:r>
      <w:r w:rsidRPr="00EE7615">
        <w:rPr>
          <w:lang w:val="en-GB"/>
        </w:rPr>
        <w:t xml:space="preserve">ly </w:t>
      </w:r>
      <w:r w:rsidR="00413054" w:rsidRPr="00EE7615">
        <w:rPr>
          <w:lang w:val="en-GB"/>
        </w:rPr>
        <w:t xml:space="preserve">to the condition of </w:t>
      </w:r>
      <w:r w:rsidRPr="00EE7615">
        <w:rPr>
          <w:lang w:val="en-GB"/>
        </w:rPr>
        <w:t xml:space="preserve">a medical diagnosis, is </w:t>
      </w:r>
      <w:r w:rsidRPr="00EE7615">
        <w:rPr>
          <w:b/>
          <w:bCs/>
          <w:lang w:val="en-GB"/>
        </w:rPr>
        <w:t>effective in practice</w:t>
      </w:r>
      <w:r w:rsidR="00B64B82" w:rsidRPr="00EE7615">
        <w:rPr>
          <w:lang w:val="en-GB"/>
        </w:rPr>
        <w:t>.</w:t>
      </w:r>
    </w:p>
    <w:p w14:paraId="2CF3EED6" w14:textId="495DC389" w:rsidR="007B2C21" w:rsidRDefault="007B2C21" w:rsidP="00EB0109">
      <w:pPr>
        <w:pStyle w:val="Textodstavce"/>
        <w:rPr>
          <w:lang w:val="en-GB"/>
        </w:rPr>
      </w:pPr>
      <w:bookmarkStart w:id="1" w:name="_Hlk208507786"/>
      <w:bookmarkEnd w:id="0"/>
      <w:r>
        <w:rPr>
          <w:lang w:val="en-GB"/>
        </w:rPr>
        <w:t xml:space="preserve">In the light of this development of </w:t>
      </w:r>
      <w:r w:rsidR="00676EAB">
        <w:rPr>
          <w:lang w:val="en-GB"/>
        </w:rPr>
        <w:t>domestic jurisprudence</w:t>
      </w:r>
      <w:r w:rsidR="0012274F">
        <w:rPr>
          <w:lang w:val="en-GB"/>
        </w:rPr>
        <w:t xml:space="preserve"> and </w:t>
      </w:r>
      <w:r w:rsidR="00E155E3">
        <w:rPr>
          <w:lang w:val="en-GB"/>
        </w:rPr>
        <w:t>regulatory framework,</w:t>
      </w:r>
      <w:r>
        <w:rPr>
          <w:lang w:val="en-GB"/>
        </w:rPr>
        <w:t xml:space="preserve"> the Government </w:t>
      </w:r>
      <w:r w:rsidR="00676EAB">
        <w:rPr>
          <w:lang w:val="en-GB"/>
        </w:rPr>
        <w:t>are of the opinion</w:t>
      </w:r>
      <w:r>
        <w:rPr>
          <w:lang w:val="en-GB"/>
        </w:rPr>
        <w:t xml:space="preserve"> that </w:t>
      </w:r>
      <w:r w:rsidR="001C0FDB">
        <w:rPr>
          <w:lang w:val="en-GB"/>
        </w:rPr>
        <w:t xml:space="preserve">after 1 July 2025, </w:t>
      </w:r>
      <w:r>
        <w:rPr>
          <w:lang w:val="en-GB"/>
        </w:rPr>
        <w:t xml:space="preserve">the </w:t>
      </w:r>
      <w:r w:rsidR="008D1B45">
        <w:rPr>
          <w:lang w:val="en-GB"/>
        </w:rPr>
        <w:t xml:space="preserve">situation in the Czech Republic is no longer in contradiction with the requirements stemming from the </w:t>
      </w:r>
      <w:r>
        <w:rPr>
          <w:lang w:val="en-GB"/>
        </w:rPr>
        <w:t>Court</w:t>
      </w:r>
      <w:r w:rsidRPr="002C04DD">
        <w:rPr>
          <w:lang w:val="en-GB"/>
        </w:rPr>
        <w:t>’s</w:t>
      </w:r>
      <w:r>
        <w:rPr>
          <w:lang w:val="en-GB"/>
        </w:rPr>
        <w:t xml:space="preserve"> judgment</w:t>
      </w:r>
      <w:r w:rsidR="008D1B45">
        <w:rPr>
          <w:lang w:val="en-GB"/>
        </w:rPr>
        <w:t xml:space="preserve"> in </w:t>
      </w:r>
      <w:r w:rsidR="005F5E3B">
        <w:rPr>
          <w:lang w:val="en-GB"/>
        </w:rPr>
        <w:t>the case at hand.</w:t>
      </w:r>
    </w:p>
    <w:bookmarkEnd w:id="1"/>
    <w:p w14:paraId="2BCB7DFB" w14:textId="77777777" w:rsidR="00AF3177" w:rsidRPr="00601505" w:rsidRDefault="00AF3177" w:rsidP="00242A3B">
      <w:pPr>
        <w:pStyle w:val="Nadpissti"/>
        <w:spacing w:before="360"/>
        <w:rPr>
          <w:lang w:val="en-GB"/>
        </w:rPr>
      </w:pPr>
      <w:r w:rsidRPr="00601505">
        <w:rPr>
          <w:lang w:val="en-GB"/>
        </w:rPr>
        <w:t xml:space="preserve">III. </w:t>
      </w:r>
      <w:r w:rsidR="00593E3E" w:rsidRPr="00601505">
        <w:rPr>
          <w:lang w:val="en-GB"/>
        </w:rPr>
        <w:t>Conclusion</w:t>
      </w:r>
    </w:p>
    <w:p w14:paraId="46B37C07" w14:textId="3F6EBAC2" w:rsidR="00CC7591" w:rsidRDefault="00CC7591" w:rsidP="00601505">
      <w:pPr>
        <w:pStyle w:val="Textodstavce"/>
        <w:rPr>
          <w:lang w:val="en-GB"/>
        </w:rPr>
      </w:pPr>
      <w:proofErr w:type="gramStart"/>
      <w:r>
        <w:rPr>
          <w:lang w:val="en-GB"/>
        </w:rPr>
        <w:t>On the basis of</w:t>
      </w:r>
      <w:proofErr w:type="gramEnd"/>
      <w:r>
        <w:rPr>
          <w:lang w:val="en-GB"/>
        </w:rPr>
        <w:t xml:space="preserve"> the above, t</w:t>
      </w:r>
      <w:r w:rsidR="00593E3E" w:rsidRPr="00601505">
        <w:rPr>
          <w:lang w:val="en-GB"/>
        </w:rPr>
        <w:t xml:space="preserve">he Government of the Czech Republic </w:t>
      </w:r>
      <w:r>
        <w:rPr>
          <w:lang w:val="en-GB"/>
        </w:rPr>
        <w:t xml:space="preserve">are of the opinion that the </w:t>
      </w:r>
      <w:bookmarkStart w:id="2" w:name="_Hlk208508320"/>
      <w:r>
        <w:rPr>
          <w:lang w:val="en-GB"/>
        </w:rPr>
        <w:t>individual and general measures taken are sufficient</w:t>
      </w:r>
      <w:r w:rsidR="00E15047">
        <w:rPr>
          <w:lang w:val="en-GB"/>
        </w:rPr>
        <w:t xml:space="preserve"> and propose to </w:t>
      </w:r>
      <w:r w:rsidR="00E15047" w:rsidRPr="00601505">
        <w:rPr>
          <w:lang w:val="en-GB"/>
        </w:rPr>
        <w:t>the Committee of Ministers</w:t>
      </w:r>
      <w:r w:rsidR="00E15047">
        <w:rPr>
          <w:lang w:val="en-GB"/>
        </w:rPr>
        <w:t xml:space="preserve"> to close its supervision of the execution of the </w:t>
      </w:r>
      <w:r w:rsidR="00D945BD">
        <w:rPr>
          <w:lang w:val="en-GB"/>
        </w:rPr>
        <w:t xml:space="preserve">above </w:t>
      </w:r>
      <w:r w:rsidR="00E15047">
        <w:rPr>
          <w:lang w:val="en-GB"/>
        </w:rPr>
        <w:t>judgment.</w:t>
      </w:r>
      <w:bookmarkEnd w:id="2"/>
    </w:p>
    <w:sectPr w:rsidR="00CC7591">
      <w:footerReference w:type="even" r:id="rId14"/>
      <w:footerReference w:type="default" r:id="rId15"/>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7FB7" w14:textId="77777777" w:rsidR="002357C9" w:rsidRDefault="002357C9">
      <w:r>
        <w:separator/>
      </w:r>
    </w:p>
  </w:endnote>
  <w:endnote w:type="continuationSeparator" w:id="0">
    <w:p w14:paraId="1BF28F52" w14:textId="77777777" w:rsidR="002357C9" w:rsidRDefault="00235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3B3C" w14:textId="77777777" w:rsidR="002357C9" w:rsidRDefault="002357C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F3A53F9" w14:textId="77777777" w:rsidR="002357C9" w:rsidRDefault="002357C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FA66" w14:textId="7B805342" w:rsidR="002357C9" w:rsidRDefault="002357C9">
    <w:pPr>
      <w:pStyle w:val="Zpat"/>
      <w:jc w:val="center"/>
    </w:pPr>
    <w:r>
      <w:t xml:space="preserve">— </w:t>
    </w:r>
    <w:r>
      <w:rPr>
        <w:rStyle w:val="slostrnky"/>
      </w:rPr>
      <w:fldChar w:fldCharType="begin"/>
    </w:r>
    <w:r>
      <w:rPr>
        <w:rStyle w:val="slostrnky"/>
      </w:rPr>
      <w:instrText xml:space="preserve"> PAGE </w:instrText>
    </w:r>
    <w:r>
      <w:rPr>
        <w:rStyle w:val="slostrnky"/>
      </w:rPr>
      <w:fldChar w:fldCharType="separate"/>
    </w:r>
    <w:r w:rsidR="00F0760F">
      <w:rPr>
        <w:rStyle w:val="slostrnky"/>
        <w:noProof/>
      </w:rPr>
      <w:t>6</w:t>
    </w:r>
    <w:r>
      <w:rPr>
        <w:rStyle w:val="slostrnky"/>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AB09F" w14:textId="77777777" w:rsidR="002357C9" w:rsidRDefault="002357C9">
      <w:r>
        <w:separator/>
      </w:r>
    </w:p>
  </w:footnote>
  <w:footnote w:type="continuationSeparator" w:id="0">
    <w:p w14:paraId="46D882CB" w14:textId="77777777" w:rsidR="002357C9" w:rsidRDefault="002357C9">
      <w:r>
        <w:continuationSeparator/>
      </w:r>
    </w:p>
  </w:footnote>
  <w:footnote w:id="1">
    <w:p w14:paraId="0D5A0B89" w14:textId="1FC5CC1A" w:rsidR="002357C9" w:rsidRPr="00E1497F" w:rsidRDefault="002357C9" w:rsidP="00E1497F">
      <w:pPr>
        <w:pStyle w:val="Textpoznpodarou"/>
        <w:spacing w:after="120"/>
        <w:jc w:val="both"/>
        <w:rPr>
          <w:lang w:val="en-GB"/>
        </w:rPr>
      </w:pPr>
      <w:r w:rsidRPr="00E1497F">
        <w:rPr>
          <w:rStyle w:val="Znakapoznpodarou"/>
          <w:lang w:val="en-GB"/>
        </w:rPr>
        <w:footnoteRef/>
      </w:r>
      <w:r w:rsidRPr="00E1497F">
        <w:rPr>
          <w:lang w:val="en-GB"/>
        </w:rPr>
        <w:t xml:space="preserve"> Details about the payment</w:t>
      </w:r>
      <w:r w:rsidR="000F5680">
        <w:rPr>
          <w:lang w:val="en-GB"/>
        </w:rPr>
        <w:t>s</w:t>
      </w:r>
      <w:r w:rsidRPr="00E1497F">
        <w:rPr>
          <w:lang w:val="en-GB"/>
        </w:rPr>
        <w:t xml:space="preserve"> could be requested from the Office of the Czech Government Agent.</w:t>
      </w:r>
    </w:p>
  </w:footnote>
  <w:footnote w:id="2">
    <w:p w14:paraId="39F02E84" w14:textId="19E29D73" w:rsidR="002357C9" w:rsidRPr="00E1497F" w:rsidRDefault="002357C9" w:rsidP="00E1497F">
      <w:pPr>
        <w:pStyle w:val="Default"/>
        <w:spacing w:after="120"/>
        <w:jc w:val="both"/>
        <w:rPr>
          <w:sz w:val="20"/>
          <w:szCs w:val="20"/>
          <w:lang w:val="en-GB"/>
        </w:rPr>
      </w:pPr>
      <w:r w:rsidRPr="00E1497F">
        <w:rPr>
          <w:rStyle w:val="Znakapoznpodarou"/>
          <w:sz w:val="20"/>
          <w:szCs w:val="20"/>
          <w:lang w:val="en-GB"/>
        </w:rPr>
        <w:footnoteRef/>
      </w:r>
      <w:r w:rsidRPr="00E1497F">
        <w:rPr>
          <w:sz w:val="20"/>
          <w:szCs w:val="20"/>
          <w:lang w:val="en-GB"/>
        </w:rPr>
        <w:t xml:space="preserve"> Section 119 of the Constitutional Court Act as amended by Act no. 404/2012 provides, </w:t>
      </w:r>
      <w:r w:rsidRPr="00E1497F">
        <w:rPr>
          <w:i/>
          <w:iCs/>
          <w:sz w:val="20"/>
          <w:szCs w:val="20"/>
          <w:lang w:val="en-GB"/>
        </w:rPr>
        <w:t>inter alia</w:t>
      </w:r>
      <w:r w:rsidRPr="00E1497F">
        <w:rPr>
          <w:sz w:val="20"/>
          <w:szCs w:val="20"/>
          <w:lang w:val="en-GB"/>
        </w:rPr>
        <w:t xml:space="preserve">, that if the Constitutional Court has previously ruled in a case in which an international court finds a violation of human rights or fundamental freedoms guaranteed by an international treaty, it is possible to file a request for reopening of the proceedings in which the ruling was given. Section 119b provides, </w:t>
      </w:r>
      <w:r w:rsidRPr="00E1497F">
        <w:rPr>
          <w:i/>
          <w:iCs/>
          <w:sz w:val="20"/>
          <w:szCs w:val="20"/>
          <w:lang w:val="en-GB"/>
        </w:rPr>
        <w:t>inter alia</w:t>
      </w:r>
      <w:r w:rsidRPr="00E1497F">
        <w:rPr>
          <w:sz w:val="20"/>
          <w:szCs w:val="20"/>
          <w:lang w:val="en-GB"/>
        </w:rPr>
        <w:t>, that if Constitutional Court’s previous judgment (</w:t>
      </w:r>
      <w:proofErr w:type="spellStart"/>
      <w:r w:rsidRPr="00E1497F">
        <w:rPr>
          <w:i/>
          <w:iCs/>
          <w:sz w:val="20"/>
          <w:szCs w:val="20"/>
          <w:lang w:val="en-GB"/>
        </w:rPr>
        <w:t>nález</w:t>
      </w:r>
      <w:proofErr w:type="spellEnd"/>
      <w:r w:rsidRPr="00E1497F">
        <w:rPr>
          <w:sz w:val="20"/>
          <w:szCs w:val="20"/>
          <w:lang w:val="en-GB"/>
        </w:rPr>
        <w:t xml:space="preserve">) was inconsistent with the decision adopted by the international court, it must set it aside. If the Constitutional Court sets aside its judgment, it deals anew with the original constitutional </w:t>
      </w:r>
      <w:proofErr w:type="gramStart"/>
      <w:r w:rsidRPr="00E1497F">
        <w:rPr>
          <w:sz w:val="20"/>
          <w:szCs w:val="20"/>
          <w:lang w:val="en-GB"/>
        </w:rPr>
        <w:t>appeal</w:t>
      </w:r>
      <w:proofErr w:type="gramEnd"/>
      <w:r w:rsidRPr="00E1497F">
        <w:rPr>
          <w:sz w:val="20"/>
          <w:szCs w:val="20"/>
          <w:lang w:val="en-GB"/>
        </w:rPr>
        <w:t xml:space="preserve"> and the new judgment should be based on the legal opinion of the international court.</w:t>
      </w:r>
    </w:p>
  </w:footnote>
  <w:footnote w:id="3">
    <w:p w14:paraId="71D238CB" w14:textId="5BAF5BB2" w:rsidR="002357C9" w:rsidRPr="00E1497F" w:rsidRDefault="002357C9" w:rsidP="00E1497F">
      <w:pPr>
        <w:pStyle w:val="Textpoznpodarou"/>
        <w:spacing w:after="120"/>
        <w:jc w:val="both"/>
      </w:pPr>
      <w:r w:rsidRPr="00E1497F">
        <w:rPr>
          <w:rStyle w:val="Znakapoznpodarou"/>
        </w:rPr>
        <w:footnoteRef/>
      </w:r>
      <w:r w:rsidRPr="00E1497F">
        <w:t xml:space="preserve"> </w:t>
      </w:r>
      <w:r w:rsidRPr="00E1497F">
        <w:rPr>
          <w:lang w:val="en-GB"/>
        </w:rPr>
        <w:t>In June 2024 the Ministry of Justice officially launched a new website (</w:t>
      </w:r>
      <w:hyperlink r:id="rId1" w:history="1">
        <w:r w:rsidRPr="00E1497F">
          <w:rPr>
            <w:rStyle w:val="Hypertextovodkaz"/>
          </w:rPr>
          <w:t>https://mezisoudy.cz/</w:t>
        </w:r>
      </w:hyperlink>
      <w:r w:rsidRPr="00E1497F">
        <w:rPr>
          <w:lang w:val="en-GB"/>
        </w:rPr>
        <w:t xml:space="preserve">) dedicated to international protection of human rights. The website is run by the Government Agent’s Office. It includes a database, which provides access to the case-law of the Court. The database contains all the judgments of the Court in the language in which the Court issued them. Above that, </w:t>
      </w:r>
      <w:r w:rsidR="00B14E86">
        <w:rPr>
          <w:lang w:val="en-GB"/>
        </w:rPr>
        <w:t>t</w:t>
      </w:r>
      <w:r w:rsidRPr="00E1497F">
        <w:rPr>
          <w:lang w:val="en-GB"/>
        </w:rPr>
        <w:t>he database contains translations of all judgments of the Court against the Czech Republic, hundreds of translations of the most important judgments of the Court delivered against other States and more than 1 700 legal summaries compiled in the Czech language of other relevant and significant judgments and decisions of the Court. The database also connects the case-law of the Court with the case-law of the Constitutional Court of the Czech Republic and the jurisprudence of the European Committee on Social Rights and United Nations Treaty Bodies.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822D9"/>
    <w:multiLevelType w:val="hybridMultilevel"/>
    <w:tmpl w:val="496C29B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248A72EE"/>
    <w:multiLevelType w:val="hybridMultilevel"/>
    <w:tmpl w:val="AF780C9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38733FED"/>
    <w:multiLevelType w:val="hybridMultilevel"/>
    <w:tmpl w:val="468A7712"/>
    <w:lvl w:ilvl="0" w:tplc="781E91A0">
      <w:start w:val="1"/>
      <w:numFmt w:val="decimal"/>
      <w:pStyle w:val="Stanovisko-text"/>
      <w:lvlText w:val="%1."/>
      <w:lvlJc w:val="left"/>
      <w:pPr>
        <w:tabs>
          <w:tab w:val="num" w:pos="644"/>
        </w:tabs>
        <w:ind w:left="0" w:firstLine="284"/>
      </w:pPr>
      <w:rPr>
        <w:rFonts w:hint="default"/>
        <w:i w:val="0"/>
      </w:rPr>
    </w:lvl>
    <w:lvl w:ilvl="1" w:tplc="16F2CA20">
      <w:start w:val="1"/>
      <w:numFmt w:val="upperLetter"/>
      <w:lvlText w:val="%2."/>
      <w:lvlJc w:val="left"/>
      <w:pPr>
        <w:tabs>
          <w:tab w:val="num" w:pos="1440"/>
        </w:tabs>
        <w:ind w:left="1440" w:hanging="360"/>
      </w:pPr>
      <w:rPr>
        <w:rFonts w:hint="default"/>
      </w:rPr>
    </w:lvl>
    <w:lvl w:ilvl="2" w:tplc="F1000DDC">
      <w:start w:val="1"/>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7F65B2D"/>
    <w:multiLevelType w:val="hybridMultilevel"/>
    <w:tmpl w:val="4B0EC6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5FDA0409"/>
    <w:multiLevelType w:val="hybridMultilevel"/>
    <w:tmpl w:val="E63E836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6D16338F"/>
    <w:multiLevelType w:val="hybridMultilevel"/>
    <w:tmpl w:val="A31867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F1E2102"/>
    <w:multiLevelType w:val="hybridMultilevel"/>
    <w:tmpl w:val="832CB8CE"/>
    <w:lvl w:ilvl="0" w:tplc="226E4968">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497768816">
    <w:abstractNumId w:val="1"/>
  </w:num>
  <w:num w:numId="2" w16cid:durableId="1588416221">
    <w:abstractNumId w:val="3"/>
  </w:num>
  <w:num w:numId="3" w16cid:durableId="1510605318">
    <w:abstractNumId w:val="5"/>
  </w:num>
  <w:num w:numId="4" w16cid:durableId="1116944326">
    <w:abstractNumId w:val="4"/>
  </w:num>
  <w:num w:numId="5" w16cid:durableId="101731177">
    <w:abstractNumId w:val="2"/>
  </w:num>
  <w:num w:numId="6" w16cid:durableId="602690572">
    <w:abstractNumId w:val="0"/>
  </w:num>
  <w:num w:numId="7" w16cid:durableId="1375033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8E3"/>
    <w:rsid w:val="0000296A"/>
    <w:rsid w:val="00003B18"/>
    <w:rsid w:val="00033AB8"/>
    <w:rsid w:val="00034F60"/>
    <w:rsid w:val="00035B28"/>
    <w:rsid w:val="00040011"/>
    <w:rsid w:val="0004395D"/>
    <w:rsid w:val="00045D70"/>
    <w:rsid w:val="00045F7A"/>
    <w:rsid w:val="0004701D"/>
    <w:rsid w:val="0007253E"/>
    <w:rsid w:val="000805F7"/>
    <w:rsid w:val="000811F5"/>
    <w:rsid w:val="00083A29"/>
    <w:rsid w:val="00084BF3"/>
    <w:rsid w:val="000910F0"/>
    <w:rsid w:val="000928E3"/>
    <w:rsid w:val="000B04F0"/>
    <w:rsid w:val="000B3112"/>
    <w:rsid w:val="000C5F0A"/>
    <w:rsid w:val="000D5CDD"/>
    <w:rsid w:val="000F1210"/>
    <w:rsid w:val="000F1648"/>
    <w:rsid w:val="000F50A5"/>
    <w:rsid w:val="000F5680"/>
    <w:rsid w:val="00113380"/>
    <w:rsid w:val="001144CE"/>
    <w:rsid w:val="0012274F"/>
    <w:rsid w:val="001430D5"/>
    <w:rsid w:val="00155D59"/>
    <w:rsid w:val="00157FA4"/>
    <w:rsid w:val="00163FCE"/>
    <w:rsid w:val="00186617"/>
    <w:rsid w:val="00190D85"/>
    <w:rsid w:val="00193392"/>
    <w:rsid w:val="00195B9F"/>
    <w:rsid w:val="00197CFB"/>
    <w:rsid w:val="001A1361"/>
    <w:rsid w:val="001B170F"/>
    <w:rsid w:val="001B4DF5"/>
    <w:rsid w:val="001C0FDB"/>
    <w:rsid w:val="001C1FE2"/>
    <w:rsid w:val="001C508D"/>
    <w:rsid w:val="001C7743"/>
    <w:rsid w:val="001D0D29"/>
    <w:rsid w:val="001D0EC9"/>
    <w:rsid w:val="001E3B78"/>
    <w:rsid w:val="001F2A97"/>
    <w:rsid w:val="001F60B3"/>
    <w:rsid w:val="0020559D"/>
    <w:rsid w:val="002110D3"/>
    <w:rsid w:val="00215066"/>
    <w:rsid w:val="00221F58"/>
    <w:rsid w:val="00230C6A"/>
    <w:rsid w:val="002357A6"/>
    <w:rsid w:val="002357C9"/>
    <w:rsid w:val="00242A3B"/>
    <w:rsid w:val="00247902"/>
    <w:rsid w:val="00255597"/>
    <w:rsid w:val="002603EC"/>
    <w:rsid w:val="00260BFF"/>
    <w:rsid w:val="0026288C"/>
    <w:rsid w:val="00287B11"/>
    <w:rsid w:val="00297CAE"/>
    <w:rsid w:val="002A58CD"/>
    <w:rsid w:val="002B2115"/>
    <w:rsid w:val="002B6F8A"/>
    <w:rsid w:val="002C04DD"/>
    <w:rsid w:val="002C1F01"/>
    <w:rsid w:val="002C74F9"/>
    <w:rsid w:val="002D0658"/>
    <w:rsid w:val="002D0DB7"/>
    <w:rsid w:val="002E5D5E"/>
    <w:rsid w:val="002E7876"/>
    <w:rsid w:val="0030061A"/>
    <w:rsid w:val="00300776"/>
    <w:rsid w:val="00314118"/>
    <w:rsid w:val="003435D7"/>
    <w:rsid w:val="003534BB"/>
    <w:rsid w:val="0035744C"/>
    <w:rsid w:val="00372925"/>
    <w:rsid w:val="003741C0"/>
    <w:rsid w:val="003871CD"/>
    <w:rsid w:val="00390030"/>
    <w:rsid w:val="00391F45"/>
    <w:rsid w:val="003949AF"/>
    <w:rsid w:val="003A4747"/>
    <w:rsid w:val="003B5EAF"/>
    <w:rsid w:val="004048CE"/>
    <w:rsid w:val="00413054"/>
    <w:rsid w:val="0041431E"/>
    <w:rsid w:val="00414602"/>
    <w:rsid w:val="00415FB3"/>
    <w:rsid w:val="00421A33"/>
    <w:rsid w:val="00425D66"/>
    <w:rsid w:val="00432962"/>
    <w:rsid w:val="004341DF"/>
    <w:rsid w:val="00444968"/>
    <w:rsid w:val="00446244"/>
    <w:rsid w:val="004554F1"/>
    <w:rsid w:val="004578AF"/>
    <w:rsid w:val="004600EC"/>
    <w:rsid w:val="00463B41"/>
    <w:rsid w:val="00466B55"/>
    <w:rsid w:val="00471F96"/>
    <w:rsid w:val="00495F5C"/>
    <w:rsid w:val="004A1AA8"/>
    <w:rsid w:val="004B792B"/>
    <w:rsid w:val="004C37DC"/>
    <w:rsid w:val="004C604A"/>
    <w:rsid w:val="004D11B5"/>
    <w:rsid w:val="004E709C"/>
    <w:rsid w:val="004F52D1"/>
    <w:rsid w:val="004F5B2B"/>
    <w:rsid w:val="004F733A"/>
    <w:rsid w:val="00501EFF"/>
    <w:rsid w:val="00510021"/>
    <w:rsid w:val="00510838"/>
    <w:rsid w:val="00513080"/>
    <w:rsid w:val="00517033"/>
    <w:rsid w:val="00524D8D"/>
    <w:rsid w:val="00530EF8"/>
    <w:rsid w:val="005318E8"/>
    <w:rsid w:val="00554054"/>
    <w:rsid w:val="00554EAD"/>
    <w:rsid w:val="005554ED"/>
    <w:rsid w:val="0055696B"/>
    <w:rsid w:val="00560F12"/>
    <w:rsid w:val="00571000"/>
    <w:rsid w:val="005768EA"/>
    <w:rsid w:val="00577509"/>
    <w:rsid w:val="00593E3E"/>
    <w:rsid w:val="005974D7"/>
    <w:rsid w:val="005A33D0"/>
    <w:rsid w:val="005A5372"/>
    <w:rsid w:val="005A5D82"/>
    <w:rsid w:val="005B4CA1"/>
    <w:rsid w:val="005D5FBF"/>
    <w:rsid w:val="005E2BD4"/>
    <w:rsid w:val="005F0FB6"/>
    <w:rsid w:val="005F4EDC"/>
    <w:rsid w:val="005F5E3B"/>
    <w:rsid w:val="00601505"/>
    <w:rsid w:val="006036F8"/>
    <w:rsid w:val="0061023B"/>
    <w:rsid w:val="0062057A"/>
    <w:rsid w:val="00625985"/>
    <w:rsid w:val="00634A4E"/>
    <w:rsid w:val="00637052"/>
    <w:rsid w:val="006374E7"/>
    <w:rsid w:val="006413AA"/>
    <w:rsid w:val="006432AD"/>
    <w:rsid w:val="00655F6A"/>
    <w:rsid w:val="006628F3"/>
    <w:rsid w:val="006654DA"/>
    <w:rsid w:val="00665FB0"/>
    <w:rsid w:val="00674CE5"/>
    <w:rsid w:val="00676EAB"/>
    <w:rsid w:val="006A1DD1"/>
    <w:rsid w:val="006A2BA3"/>
    <w:rsid w:val="006B5683"/>
    <w:rsid w:val="006B5A6F"/>
    <w:rsid w:val="006C45F0"/>
    <w:rsid w:val="006D0C61"/>
    <w:rsid w:val="006D6A07"/>
    <w:rsid w:val="006E0DE6"/>
    <w:rsid w:val="006F1E64"/>
    <w:rsid w:val="006F512E"/>
    <w:rsid w:val="0070589C"/>
    <w:rsid w:val="007241D5"/>
    <w:rsid w:val="007301AC"/>
    <w:rsid w:val="00735E7A"/>
    <w:rsid w:val="00741808"/>
    <w:rsid w:val="0074706E"/>
    <w:rsid w:val="0075470E"/>
    <w:rsid w:val="00764619"/>
    <w:rsid w:val="00780E5A"/>
    <w:rsid w:val="007866EF"/>
    <w:rsid w:val="00791CD3"/>
    <w:rsid w:val="007946A3"/>
    <w:rsid w:val="007A5FB6"/>
    <w:rsid w:val="007A6E32"/>
    <w:rsid w:val="007B2C21"/>
    <w:rsid w:val="007B3BBB"/>
    <w:rsid w:val="007B7221"/>
    <w:rsid w:val="007C407D"/>
    <w:rsid w:val="007C7262"/>
    <w:rsid w:val="007D61F4"/>
    <w:rsid w:val="007D749C"/>
    <w:rsid w:val="007D7ABB"/>
    <w:rsid w:val="007E79E1"/>
    <w:rsid w:val="007F1AB7"/>
    <w:rsid w:val="00800F9C"/>
    <w:rsid w:val="0080464E"/>
    <w:rsid w:val="00811C94"/>
    <w:rsid w:val="00823F3E"/>
    <w:rsid w:val="008529D7"/>
    <w:rsid w:val="008566F0"/>
    <w:rsid w:val="008620B2"/>
    <w:rsid w:val="0086675F"/>
    <w:rsid w:val="008671BA"/>
    <w:rsid w:val="008727D0"/>
    <w:rsid w:val="00883446"/>
    <w:rsid w:val="00885A90"/>
    <w:rsid w:val="00894CCD"/>
    <w:rsid w:val="008A5B99"/>
    <w:rsid w:val="008A5E5E"/>
    <w:rsid w:val="008A7B99"/>
    <w:rsid w:val="008D1B45"/>
    <w:rsid w:val="008F6B38"/>
    <w:rsid w:val="00902F00"/>
    <w:rsid w:val="00921EEC"/>
    <w:rsid w:val="009244EB"/>
    <w:rsid w:val="0092593D"/>
    <w:rsid w:val="00926868"/>
    <w:rsid w:val="009306DA"/>
    <w:rsid w:val="0093788D"/>
    <w:rsid w:val="00963D0E"/>
    <w:rsid w:val="00967986"/>
    <w:rsid w:val="009841E3"/>
    <w:rsid w:val="00991798"/>
    <w:rsid w:val="00994C75"/>
    <w:rsid w:val="0099601E"/>
    <w:rsid w:val="009A006B"/>
    <w:rsid w:val="009A22A0"/>
    <w:rsid w:val="009A498D"/>
    <w:rsid w:val="009B44A0"/>
    <w:rsid w:val="009B565C"/>
    <w:rsid w:val="009C20C7"/>
    <w:rsid w:val="009C3CA9"/>
    <w:rsid w:val="009C6622"/>
    <w:rsid w:val="009D1711"/>
    <w:rsid w:val="009E07FE"/>
    <w:rsid w:val="00A05109"/>
    <w:rsid w:val="00A10695"/>
    <w:rsid w:val="00A15A22"/>
    <w:rsid w:val="00A25988"/>
    <w:rsid w:val="00A30046"/>
    <w:rsid w:val="00A347F9"/>
    <w:rsid w:val="00A362D9"/>
    <w:rsid w:val="00A378FC"/>
    <w:rsid w:val="00A57910"/>
    <w:rsid w:val="00A57CA5"/>
    <w:rsid w:val="00A74702"/>
    <w:rsid w:val="00AB06F6"/>
    <w:rsid w:val="00AB1570"/>
    <w:rsid w:val="00AB2F7F"/>
    <w:rsid w:val="00AB317E"/>
    <w:rsid w:val="00AC3A5E"/>
    <w:rsid w:val="00AC6FF4"/>
    <w:rsid w:val="00AE7A58"/>
    <w:rsid w:val="00AF2579"/>
    <w:rsid w:val="00AF3177"/>
    <w:rsid w:val="00AF49BE"/>
    <w:rsid w:val="00AF70E9"/>
    <w:rsid w:val="00B02189"/>
    <w:rsid w:val="00B068C6"/>
    <w:rsid w:val="00B10A5C"/>
    <w:rsid w:val="00B113E3"/>
    <w:rsid w:val="00B14E86"/>
    <w:rsid w:val="00B15810"/>
    <w:rsid w:val="00B178F5"/>
    <w:rsid w:val="00B316B0"/>
    <w:rsid w:val="00B3590A"/>
    <w:rsid w:val="00B44811"/>
    <w:rsid w:val="00B52258"/>
    <w:rsid w:val="00B57F1A"/>
    <w:rsid w:val="00B60BAA"/>
    <w:rsid w:val="00B613BF"/>
    <w:rsid w:val="00B613EC"/>
    <w:rsid w:val="00B62594"/>
    <w:rsid w:val="00B64B82"/>
    <w:rsid w:val="00B80AB8"/>
    <w:rsid w:val="00BA200A"/>
    <w:rsid w:val="00BA6947"/>
    <w:rsid w:val="00BB26F4"/>
    <w:rsid w:val="00BD2032"/>
    <w:rsid w:val="00BD6185"/>
    <w:rsid w:val="00BE20E0"/>
    <w:rsid w:val="00BE34B2"/>
    <w:rsid w:val="00BE6094"/>
    <w:rsid w:val="00BF0180"/>
    <w:rsid w:val="00BF31BA"/>
    <w:rsid w:val="00C001AF"/>
    <w:rsid w:val="00C0063E"/>
    <w:rsid w:val="00C0779A"/>
    <w:rsid w:val="00C145DE"/>
    <w:rsid w:val="00C24AB0"/>
    <w:rsid w:val="00C256E7"/>
    <w:rsid w:val="00C44853"/>
    <w:rsid w:val="00C50BBA"/>
    <w:rsid w:val="00C51F93"/>
    <w:rsid w:val="00C638F6"/>
    <w:rsid w:val="00C64448"/>
    <w:rsid w:val="00C73CFE"/>
    <w:rsid w:val="00C75B1B"/>
    <w:rsid w:val="00CA71CC"/>
    <w:rsid w:val="00CB4538"/>
    <w:rsid w:val="00CB574D"/>
    <w:rsid w:val="00CC7591"/>
    <w:rsid w:val="00CE292B"/>
    <w:rsid w:val="00CE3EFB"/>
    <w:rsid w:val="00D151AD"/>
    <w:rsid w:val="00D1593B"/>
    <w:rsid w:val="00D2504B"/>
    <w:rsid w:val="00D270FA"/>
    <w:rsid w:val="00D379AD"/>
    <w:rsid w:val="00D37E0E"/>
    <w:rsid w:val="00D43B8F"/>
    <w:rsid w:val="00D56164"/>
    <w:rsid w:val="00D65489"/>
    <w:rsid w:val="00D71FEB"/>
    <w:rsid w:val="00D77E4F"/>
    <w:rsid w:val="00D9401A"/>
    <w:rsid w:val="00D945BD"/>
    <w:rsid w:val="00D96C82"/>
    <w:rsid w:val="00DA034F"/>
    <w:rsid w:val="00DA4D5A"/>
    <w:rsid w:val="00DD26ED"/>
    <w:rsid w:val="00DE19E2"/>
    <w:rsid w:val="00DF1156"/>
    <w:rsid w:val="00E02F59"/>
    <w:rsid w:val="00E03D56"/>
    <w:rsid w:val="00E0449F"/>
    <w:rsid w:val="00E0710B"/>
    <w:rsid w:val="00E1497F"/>
    <w:rsid w:val="00E15047"/>
    <w:rsid w:val="00E155E3"/>
    <w:rsid w:val="00E16820"/>
    <w:rsid w:val="00E30530"/>
    <w:rsid w:val="00E33E4D"/>
    <w:rsid w:val="00E358F0"/>
    <w:rsid w:val="00E36292"/>
    <w:rsid w:val="00E467ED"/>
    <w:rsid w:val="00E50319"/>
    <w:rsid w:val="00E5162D"/>
    <w:rsid w:val="00E61812"/>
    <w:rsid w:val="00E63506"/>
    <w:rsid w:val="00E80987"/>
    <w:rsid w:val="00E80A5D"/>
    <w:rsid w:val="00E81945"/>
    <w:rsid w:val="00E97A38"/>
    <w:rsid w:val="00EA10D8"/>
    <w:rsid w:val="00EA624D"/>
    <w:rsid w:val="00EB0109"/>
    <w:rsid w:val="00EB1840"/>
    <w:rsid w:val="00EB3BD0"/>
    <w:rsid w:val="00EB658F"/>
    <w:rsid w:val="00EB7DA0"/>
    <w:rsid w:val="00ED15F7"/>
    <w:rsid w:val="00ED20A2"/>
    <w:rsid w:val="00EE465F"/>
    <w:rsid w:val="00EE5312"/>
    <w:rsid w:val="00EE740F"/>
    <w:rsid w:val="00EE7615"/>
    <w:rsid w:val="00F005F8"/>
    <w:rsid w:val="00F0255C"/>
    <w:rsid w:val="00F0760F"/>
    <w:rsid w:val="00F1016B"/>
    <w:rsid w:val="00F21F21"/>
    <w:rsid w:val="00F26BB2"/>
    <w:rsid w:val="00F26CB5"/>
    <w:rsid w:val="00F37BBC"/>
    <w:rsid w:val="00F45416"/>
    <w:rsid w:val="00F51C17"/>
    <w:rsid w:val="00F6676C"/>
    <w:rsid w:val="00F76583"/>
    <w:rsid w:val="00F80F7B"/>
    <w:rsid w:val="00FA116F"/>
    <w:rsid w:val="00FA478A"/>
    <w:rsid w:val="00FA5CFC"/>
    <w:rsid w:val="00FB61B2"/>
    <w:rsid w:val="00FB740D"/>
    <w:rsid w:val="00FC71D9"/>
    <w:rsid w:val="00FC7384"/>
    <w:rsid w:val="00FD052E"/>
    <w:rsid w:val="00FD35DB"/>
    <w:rsid w:val="00FD6FE3"/>
    <w:rsid w:val="00FE6256"/>
    <w:rsid w:val="00FE7B91"/>
    <w:rsid w:val="00FF4B29"/>
    <w:rsid w:val="00FF7226"/>
    <w:rsid w:val="00FF79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FEAC9"/>
  <w15:chartTrackingRefBased/>
  <w15:docId w15:val="{B2879A5A-570C-4DA8-AC3D-5E54BB3FB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outlineLvl w:val="0"/>
    </w:pPr>
    <w:rPr>
      <w:sz w:val="24"/>
    </w:rPr>
  </w:style>
  <w:style w:type="paragraph" w:styleId="Nadpis2">
    <w:name w:val="heading 2"/>
    <w:basedOn w:val="Normln"/>
    <w:next w:val="Normln"/>
    <w:qFormat/>
    <w:pPr>
      <w:keepNext/>
      <w:jc w:val="both"/>
      <w:outlineLvl w:val="1"/>
    </w:pPr>
    <w:rPr>
      <w:sz w:val="24"/>
      <w:u w:val="single"/>
    </w:rPr>
  </w:style>
  <w:style w:type="paragraph" w:styleId="Nadpis3">
    <w:name w:val="heading 3"/>
    <w:basedOn w:val="Normln"/>
    <w:next w:val="Normln"/>
    <w:qFormat/>
    <w:pPr>
      <w:keepNext/>
      <w:jc w:val="both"/>
      <w:outlineLvl w:val="2"/>
    </w:pPr>
    <w:rPr>
      <w:b/>
      <w:bCs/>
      <w:i/>
      <w:iCs/>
      <w:sz w:val="24"/>
    </w:rPr>
  </w:style>
  <w:style w:type="paragraph" w:styleId="Nadpis4">
    <w:name w:val="heading 4"/>
    <w:basedOn w:val="Normln"/>
    <w:next w:val="Normln"/>
    <w:qFormat/>
    <w:pPr>
      <w:keepNext/>
      <w:outlineLvl w:val="3"/>
    </w:pPr>
    <w:rPr>
      <w:sz w:val="24"/>
      <w:u w:val="single"/>
    </w:rPr>
  </w:style>
  <w:style w:type="paragraph" w:styleId="Nadpis5">
    <w:name w:val="heading 5"/>
    <w:basedOn w:val="Normln"/>
    <w:next w:val="Normln"/>
    <w:qFormat/>
    <w:pPr>
      <w:keepNext/>
      <w:jc w:val="center"/>
      <w:outlineLvl w:val="4"/>
    </w:pPr>
    <w:rPr>
      <w:sz w:val="24"/>
    </w:rPr>
  </w:style>
  <w:style w:type="paragraph" w:styleId="Nadpis6">
    <w:name w:val="heading 6"/>
    <w:basedOn w:val="Normln"/>
    <w:next w:val="Normln"/>
    <w:qFormat/>
    <w:pPr>
      <w:keepNext/>
      <w:jc w:val="both"/>
      <w:outlineLvl w:val="5"/>
    </w:pPr>
    <w:rPr>
      <w:b/>
      <w:bCs/>
      <w:sz w:val="24"/>
      <w:u w:val="single"/>
    </w:rPr>
  </w:style>
  <w:style w:type="paragraph" w:styleId="Nadpis7">
    <w:name w:val="heading 7"/>
    <w:basedOn w:val="Normln"/>
    <w:next w:val="Normln"/>
    <w:qFormat/>
    <w:pPr>
      <w:keepNext/>
      <w:outlineLvl w:val="6"/>
    </w:pPr>
    <w:rPr>
      <w:b/>
      <w:bCs/>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2">
    <w:name w:val="List 2"/>
    <w:basedOn w:val="Normln"/>
    <w:semiHidden/>
    <w:pPr>
      <w:ind w:left="566" w:hanging="283"/>
    </w:pPr>
  </w:style>
  <w:style w:type="paragraph" w:styleId="Zpat">
    <w:name w:val="footer"/>
    <w:basedOn w:val="Normln"/>
    <w:semiHidden/>
    <w:pPr>
      <w:tabs>
        <w:tab w:val="center" w:pos="4536"/>
        <w:tab w:val="right" w:pos="9072"/>
      </w:tabs>
    </w:pPr>
    <w:rPr>
      <w:sz w:val="24"/>
    </w:r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paragraph" w:customStyle="1" w:styleId="Zkladntext21">
    <w:name w:val="Základní text 21"/>
    <w:basedOn w:val="Normln"/>
    <w:pPr>
      <w:ind w:firstLine="708"/>
      <w:jc w:val="both"/>
    </w:pPr>
    <w:rPr>
      <w:sz w:val="24"/>
    </w:rPr>
  </w:style>
  <w:style w:type="paragraph" w:customStyle="1" w:styleId="Zkladntext22">
    <w:name w:val="Základní text 22"/>
    <w:basedOn w:val="Normln"/>
    <w:pPr>
      <w:ind w:left="397"/>
      <w:jc w:val="both"/>
    </w:pPr>
    <w:rPr>
      <w:sz w:val="24"/>
      <w:lang w:val="en-GB"/>
    </w:rPr>
  </w:style>
  <w:style w:type="paragraph" w:styleId="Zkladntext">
    <w:name w:val="Body Text"/>
    <w:basedOn w:val="Normln"/>
    <w:semiHidden/>
    <w:rPr>
      <w:sz w:val="24"/>
    </w:rPr>
  </w:style>
  <w:style w:type="paragraph" w:customStyle="1" w:styleId="Zkladntext23">
    <w:name w:val="Základní text 23"/>
    <w:basedOn w:val="Normln"/>
    <w:pPr>
      <w:jc w:val="both"/>
    </w:pPr>
    <w:rPr>
      <w:sz w:val="24"/>
    </w:rPr>
  </w:style>
  <w:style w:type="paragraph" w:customStyle="1" w:styleId="Zkladntext31">
    <w:name w:val="Základní text 31"/>
    <w:basedOn w:val="Normln"/>
    <w:pPr>
      <w:jc w:val="both"/>
    </w:pPr>
    <w:rPr>
      <w:i/>
      <w:sz w:val="24"/>
    </w:rPr>
  </w:style>
  <w:style w:type="paragraph" w:customStyle="1" w:styleId="Zkladntext24">
    <w:name w:val="Základní text 24"/>
    <w:basedOn w:val="Normln"/>
    <w:pPr>
      <w:ind w:left="142" w:firstLine="567"/>
      <w:jc w:val="both"/>
    </w:pPr>
    <w:rPr>
      <w:sz w:val="24"/>
    </w:rPr>
  </w:style>
  <w:style w:type="paragraph" w:customStyle="1" w:styleId="Zkladntextodsazen31">
    <w:name w:val="Základní text odsazený 31"/>
    <w:basedOn w:val="Normln"/>
    <w:pPr>
      <w:ind w:firstLine="708"/>
      <w:jc w:val="both"/>
    </w:pPr>
    <w:rPr>
      <w:sz w:val="24"/>
    </w:rPr>
  </w:style>
  <w:style w:type="paragraph" w:customStyle="1" w:styleId="Zkladntext25">
    <w:name w:val="Základní text 25"/>
    <w:basedOn w:val="Normln"/>
    <w:pPr>
      <w:tabs>
        <w:tab w:val="left" w:pos="426"/>
      </w:tabs>
      <w:ind w:left="284" w:hanging="284"/>
      <w:jc w:val="both"/>
    </w:pPr>
    <w:rPr>
      <w:sz w:val="24"/>
    </w:rPr>
  </w:style>
  <w:style w:type="paragraph" w:customStyle="1" w:styleId="Zkladntext26">
    <w:name w:val="Základní text 26"/>
    <w:basedOn w:val="Normln"/>
    <w:pPr>
      <w:jc w:val="both"/>
    </w:pPr>
    <w:rPr>
      <w:sz w:val="24"/>
      <w:u w:val="single"/>
    </w:rPr>
  </w:style>
  <w:style w:type="character" w:styleId="Siln">
    <w:name w:val="Strong"/>
    <w:qFormat/>
    <w:rPr>
      <w:b/>
      <w:bCs/>
    </w:rPr>
  </w:style>
  <w:style w:type="paragraph" w:customStyle="1" w:styleId="Nadpishlavn">
    <w:name w:val="Nadpis hlavní"/>
    <w:basedOn w:val="Normln"/>
    <w:rsid w:val="000F1648"/>
    <w:pPr>
      <w:pBdr>
        <w:top w:val="single" w:sz="12" w:space="4" w:color="auto" w:shadow="1"/>
        <w:left w:val="single" w:sz="12" w:space="4" w:color="auto" w:shadow="1"/>
        <w:bottom w:val="single" w:sz="12" w:space="4" w:color="auto" w:shadow="1"/>
        <w:right w:val="single" w:sz="12" w:space="4" w:color="auto" w:shadow="1"/>
      </w:pBdr>
      <w:jc w:val="center"/>
    </w:pPr>
    <w:rPr>
      <w:b/>
      <w:sz w:val="25"/>
    </w:rPr>
  </w:style>
  <w:style w:type="paragraph" w:customStyle="1" w:styleId="Textodstavce">
    <w:name w:val="Text odstavce"/>
    <w:basedOn w:val="Normln"/>
    <w:link w:val="TextodstavceChar"/>
    <w:pPr>
      <w:spacing w:before="120"/>
      <w:ind w:firstLine="709"/>
      <w:jc w:val="both"/>
    </w:pPr>
    <w:rPr>
      <w:sz w:val="24"/>
    </w:rPr>
  </w:style>
  <w:style w:type="paragraph" w:customStyle="1" w:styleId="Nadpissti">
    <w:name w:val="Nadpis části"/>
    <w:basedOn w:val="Textodstavce"/>
    <w:pPr>
      <w:keepNext/>
      <w:keepLines/>
      <w:spacing w:before="640"/>
      <w:ind w:firstLine="0"/>
      <w:jc w:val="center"/>
    </w:pPr>
    <w:rPr>
      <w:b/>
      <w:caps/>
    </w:rPr>
  </w:style>
  <w:style w:type="paragraph" w:customStyle="1" w:styleId="Textpsmena">
    <w:name w:val="Text písmena"/>
    <w:basedOn w:val="Textodstavce"/>
    <w:pPr>
      <w:tabs>
        <w:tab w:val="left" w:pos="284"/>
        <w:tab w:val="left" w:pos="1068"/>
      </w:tabs>
      <w:ind w:left="284" w:hanging="284"/>
    </w:pPr>
  </w:style>
  <w:style w:type="paragraph" w:customStyle="1" w:styleId="Nadpispodsti">
    <w:name w:val="Nadpis podčásti"/>
    <w:basedOn w:val="Nadpissti"/>
    <w:rPr>
      <w:b w:val="0"/>
      <w:bCs/>
      <w:smallCaps/>
      <w:u w:val="single"/>
    </w:rPr>
  </w:style>
  <w:style w:type="paragraph" w:customStyle="1" w:styleId="Rubrika">
    <w:name w:val="Rubrika"/>
    <w:basedOn w:val="Normln"/>
    <w:pPr>
      <w:keepNext/>
      <w:spacing w:before="120"/>
      <w:ind w:firstLine="709"/>
      <w:jc w:val="both"/>
    </w:pPr>
    <w:rPr>
      <w:b/>
      <w:bCs/>
      <w:i/>
      <w:sz w:val="24"/>
      <w:u w:val="dash"/>
    </w:rPr>
  </w:style>
  <w:style w:type="paragraph" w:customStyle="1" w:styleId="Nadpisoddlu">
    <w:name w:val="Nadpis oddílu"/>
    <w:basedOn w:val="Textodstavce"/>
    <w:link w:val="NadpisoddluChar"/>
    <w:pPr>
      <w:keepNext/>
      <w:spacing w:before="400"/>
      <w:ind w:firstLine="0"/>
      <w:jc w:val="center"/>
    </w:pPr>
    <w:rPr>
      <w:i/>
      <w:smallCaps/>
    </w:rPr>
  </w:style>
  <w:style w:type="paragraph" w:customStyle="1" w:styleId="Nadpispododdlu">
    <w:name w:val="Nadpis pododdílu"/>
    <w:basedOn w:val="Nadpisoddlu"/>
    <w:pPr>
      <w:spacing w:before="320"/>
    </w:pPr>
    <w:rPr>
      <w:smallCaps w:val="0"/>
    </w:rPr>
  </w:style>
  <w:style w:type="paragraph" w:customStyle="1" w:styleId="Nadpisvtextu">
    <w:name w:val="Nadpis v textu"/>
    <w:basedOn w:val="Nadpispododdlu"/>
    <w:rPr>
      <w:i w:val="0"/>
      <w:u w:val="dotDotDash"/>
    </w:rPr>
  </w:style>
  <w:style w:type="character" w:customStyle="1" w:styleId="Siln1">
    <w:name w:val="Silné1"/>
    <w:rPr>
      <w:b/>
    </w:rPr>
  </w:style>
  <w:style w:type="character" w:customStyle="1" w:styleId="normal--char">
    <w:name w:val="normal--char"/>
    <w:rsid w:val="00AF3177"/>
  </w:style>
  <w:style w:type="paragraph" w:customStyle="1" w:styleId="Hvzdiky">
    <w:name w:val="Hvězdičky"/>
    <w:basedOn w:val="Normln"/>
    <w:pPr>
      <w:spacing w:before="320" w:after="160"/>
      <w:jc w:val="center"/>
    </w:pPr>
  </w:style>
  <w:style w:type="character" w:customStyle="1" w:styleId="TextodstavceChar">
    <w:name w:val="Text odstavce Char"/>
    <w:link w:val="Textodstavce"/>
    <w:rsid w:val="00625985"/>
    <w:rPr>
      <w:sz w:val="24"/>
    </w:rPr>
  </w:style>
  <w:style w:type="paragraph" w:styleId="Textpoznpodarou">
    <w:name w:val="footnote text"/>
    <w:basedOn w:val="Normln"/>
    <w:link w:val="TextpoznpodarouChar"/>
    <w:semiHidden/>
    <w:rsid w:val="00625985"/>
  </w:style>
  <w:style w:type="character" w:customStyle="1" w:styleId="TextpoznpodarouChar">
    <w:name w:val="Text pozn. pod čarou Char"/>
    <w:basedOn w:val="Standardnpsmoodstavce"/>
    <w:link w:val="Textpoznpodarou"/>
    <w:semiHidden/>
    <w:rsid w:val="00625985"/>
  </w:style>
  <w:style w:type="character" w:styleId="Znakapoznpodarou">
    <w:name w:val="footnote reference"/>
    <w:semiHidden/>
    <w:rsid w:val="00625985"/>
    <w:rPr>
      <w:vertAlign w:val="superscript"/>
    </w:rPr>
  </w:style>
  <w:style w:type="character" w:styleId="Odkaznakoment">
    <w:name w:val="annotation reference"/>
    <w:uiPriority w:val="99"/>
    <w:semiHidden/>
    <w:unhideWhenUsed/>
    <w:rsid w:val="00BE34B2"/>
    <w:rPr>
      <w:sz w:val="16"/>
      <w:szCs w:val="16"/>
    </w:rPr>
  </w:style>
  <w:style w:type="paragraph" w:styleId="Textkomente">
    <w:name w:val="annotation text"/>
    <w:basedOn w:val="Normln"/>
    <w:link w:val="TextkomenteChar"/>
    <w:uiPriority w:val="99"/>
    <w:unhideWhenUsed/>
    <w:rsid w:val="00BE34B2"/>
  </w:style>
  <w:style w:type="character" w:customStyle="1" w:styleId="TextkomenteChar">
    <w:name w:val="Text komentáře Char"/>
    <w:basedOn w:val="Standardnpsmoodstavce"/>
    <w:link w:val="Textkomente"/>
    <w:uiPriority w:val="99"/>
    <w:rsid w:val="00BE34B2"/>
  </w:style>
  <w:style w:type="paragraph" w:styleId="Pedmtkomente">
    <w:name w:val="annotation subject"/>
    <w:basedOn w:val="Textkomente"/>
    <w:next w:val="Textkomente"/>
    <w:link w:val="PedmtkomenteChar"/>
    <w:uiPriority w:val="99"/>
    <w:semiHidden/>
    <w:unhideWhenUsed/>
    <w:rsid w:val="00BE34B2"/>
    <w:rPr>
      <w:b/>
      <w:bCs/>
    </w:rPr>
  </w:style>
  <w:style w:type="character" w:customStyle="1" w:styleId="PedmtkomenteChar">
    <w:name w:val="Předmět komentáře Char"/>
    <w:link w:val="Pedmtkomente"/>
    <w:uiPriority w:val="99"/>
    <w:semiHidden/>
    <w:rsid w:val="00BE34B2"/>
    <w:rPr>
      <w:b/>
      <w:bCs/>
    </w:rPr>
  </w:style>
  <w:style w:type="paragraph" w:styleId="Textbubliny">
    <w:name w:val="Balloon Text"/>
    <w:basedOn w:val="Normln"/>
    <w:link w:val="TextbublinyChar"/>
    <w:uiPriority w:val="99"/>
    <w:semiHidden/>
    <w:unhideWhenUsed/>
    <w:rsid w:val="00BE34B2"/>
    <w:rPr>
      <w:rFonts w:ascii="Tahoma" w:hAnsi="Tahoma" w:cs="Tahoma"/>
      <w:sz w:val="16"/>
      <w:szCs w:val="16"/>
    </w:rPr>
  </w:style>
  <w:style w:type="character" w:customStyle="1" w:styleId="TextbublinyChar">
    <w:name w:val="Text bubliny Char"/>
    <w:link w:val="Textbubliny"/>
    <w:uiPriority w:val="99"/>
    <w:semiHidden/>
    <w:rsid w:val="00BE34B2"/>
    <w:rPr>
      <w:rFonts w:ascii="Tahoma" w:hAnsi="Tahoma" w:cs="Tahoma"/>
      <w:sz w:val="16"/>
      <w:szCs w:val="16"/>
    </w:rPr>
  </w:style>
  <w:style w:type="paragraph" w:customStyle="1" w:styleId="Default">
    <w:name w:val="Default"/>
    <w:rsid w:val="00FF793D"/>
    <w:pPr>
      <w:autoSpaceDE w:val="0"/>
      <w:autoSpaceDN w:val="0"/>
      <w:adjustRightInd w:val="0"/>
    </w:pPr>
    <w:rPr>
      <w:color w:val="000000"/>
      <w:sz w:val="24"/>
      <w:szCs w:val="24"/>
    </w:rPr>
  </w:style>
  <w:style w:type="character" w:styleId="Hypertextovodkaz">
    <w:name w:val="Hyperlink"/>
    <w:basedOn w:val="Standardnpsmoodstavce"/>
    <w:uiPriority w:val="99"/>
    <w:unhideWhenUsed/>
    <w:rsid w:val="00A57CA5"/>
    <w:rPr>
      <w:color w:val="0563C1" w:themeColor="hyperlink"/>
      <w:u w:val="single"/>
    </w:rPr>
  </w:style>
  <w:style w:type="character" w:customStyle="1" w:styleId="Nevyeenzmnka1">
    <w:name w:val="Nevyřešená zmínka1"/>
    <w:basedOn w:val="Standardnpsmoodstavce"/>
    <w:uiPriority w:val="99"/>
    <w:semiHidden/>
    <w:unhideWhenUsed/>
    <w:rsid w:val="00A57CA5"/>
    <w:rPr>
      <w:color w:val="605E5C"/>
      <w:shd w:val="clear" w:color="auto" w:fill="E1DFDD"/>
    </w:rPr>
  </w:style>
  <w:style w:type="character" w:styleId="Sledovanodkaz">
    <w:name w:val="FollowedHyperlink"/>
    <w:basedOn w:val="Standardnpsmoodstavce"/>
    <w:uiPriority w:val="99"/>
    <w:semiHidden/>
    <w:unhideWhenUsed/>
    <w:rsid w:val="003435D7"/>
    <w:rPr>
      <w:color w:val="954F72" w:themeColor="followedHyperlink"/>
      <w:u w:val="single"/>
    </w:rPr>
  </w:style>
  <w:style w:type="paragraph" w:styleId="Revize">
    <w:name w:val="Revision"/>
    <w:hidden/>
    <w:uiPriority w:val="99"/>
    <w:semiHidden/>
    <w:rsid w:val="00AB06F6"/>
  </w:style>
  <w:style w:type="character" w:customStyle="1" w:styleId="Nevyeenzmnka2">
    <w:name w:val="Nevyřešená zmínka2"/>
    <w:basedOn w:val="Standardnpsmoodstavce"/>
    <w:uiPriority w:val="99"/>
    <w:semiHidden/>
    <w:unhideWhenUsed/>
    <w:rsid w:val="008A5E5E"/>
    <w:rPr>
      <w:color w:val="605E5C"/>
      <w:shd w:val="clear" w:color="auto" w:fill="E1DFDD"/>
    </w:rPr>
  </w:style>
  <w:style w:type="character" w:styleId="Zdraznn">
    <w:name w:val="Emphasis"/>
    <w:basedOn w:val="Standardnpsmoodstavce"/>
    <w:uiPriority w:val="20"/>
    <w:qFormat/>
    <w:rsid w:val="00BE6094"/>
    <w:rPr>
      <w:i/>
      <w:iCs/>
    </w:rPr>
  </w:style>
  <w:style w:type="character" w:customStyle="1" w:styleId="column">
    <w:name w:val="column"/>
    <w:basedOn w:val="Standardnpsmoodstavce"/>
    <w:rsid w:val="005554ED"/>
  </w:style>
  <w:style w:type="paragraph" w:customStyle="1" w:styleId="JuPara">
    <w:name w:val="Ju_Para"/>
    <w:aliases w:val="ECHR_Para,_Para"/>
    <w:basedOn w:val="Normln"/>
    <w:link w:val="JuParaChar"/>
    <w:uiPriority w:val="4"/>
    <w:qFormat/>
    <w:rsid w:val="0030061A"/>
    <w:pPr>
      <w:ind w:firstLine="284"/>
      <w:jc w:val="both"/>
    </w:pPr>
    <w:rPr>
      <w:rFonts w:asciiTheme="minorHAnsi" w:eastAsiaTheme="minorHAnsi" w:hAnsiTheme="minorHAnsi" w:cstheme="minorBidi"/>
      <w:sz w:val="24"/>
      <w:szCs w:val="24"/>
      <w:lang w:val="en-GB" w:eastAsia="en-US"/>
    </w:rPr>
  </w:style>
  <w:style w:type="character" w:customStyle="1" w:styleId="JuParaChar">
    <w:name w:val="Ju_Para Char"/>
    <w:aliases w:val="_Para Char"/>
    <w:link w:val="JuPara"/>
    <w:uiPriority w:val="4"/>
    <w:rsid w:val="0030061A"/>
    <w:rPr>
      <w:rFonts w:asciiTheme="minorHAnsi" w:eastAsiaTheme="minorHAnsi" w:hAnsiTheme="minorHAnsi" w:cstheme="minorBidi"/>
      <w:sz w:val="24"/>
      <w:szCs w:val="24"/>
      <w:lang w:val="en-GB" w:eastAsia="en-US"/>
    </w:rPr>
  </w:style>
  <w:style w:type="paragraph" w:styleId="Odstavecseseznamem">
    <w:name w:val="List Paragraph"/>
    <w:basedOn w:val="Normln"/>
    <w:uiPriority w:val="34"/>
    <w:qFormat/>
    <w:rsid w:val="00186617"/>
    <w:pPr>
      <w:ind w:left="720"/>
    </w:pPr>
    <w:rPr>
      <w:rFonts w:ascii="Calibri" w:eastAsiaTheme="minorHAnsi" w:hAnsi="Calibri" w:cs="Calibri"/>
      <w:sz w:val="22"/>
      <w:szCs w:val="22"/>
      <w:lang w:eastAsia="en-US"/>
      <w14:ligatures w14:val="standardContextual"/>
    </w:rPr>
  </w:style>
  <w:style w:type="paragraph" w:customStyle="1" w:styleId="pf0">
    <w:name w:val="pf0"/>
    <w:basedOn w:val="Normln"/>
    <w:rsid w:val="00F26CB5"/>
    <w:pPr>
      <w:spacing w:before="100" w:beforeAutospacing="1" w:after="100" w:afterAutospacing="1"/>
    </w:pPr>
    <w:rPr>
      <w:sz w:val="24"/>
      <w:szCs w:val="24"/>
    </w:rPr>
  </w:style>
  <w:style w:type="character" w:customStyle="1" w:styleId="cf01">
    <w:name w:val="cf01"/>
    <w:basedOn w:val="Standardnpsmoodstavce"/>
    <w:rsid w:val="00F26CB5"/>
    <w:rPr>
      <w:rFonts w:ascii="Segoe UI" w:hAnsi="Segoe UI" w:cs="Segoe UI" w:hint="default"/>
      <w:sz w:val="18"/>
      <w:szCs w:val="18"/>
    </w:rPr>
  </w:style>
  <w:style w:type="character" w:styleId="Nevyeenzmnka">
    <w:name w:val="Unresolved Mention"/>
    <w:basedOn w:val="Standardnpsmoodstavce"/>
    <w:uiPriority w:val="99"/>
    <w:semiHidden/>
    <w:unhideWhenUsed/>
    <w:rsid w:val="00E15047"/>
    <w:rPr>
      <w:color w:val="605E5C"/>
      <w:shd w:val="clear" w:color="auto" w:fill="E1DFDD"/>
    </w:rPr>
  </w:style>
  <w:style w:type="character" w:customStyle="1" w:styleId="NadpisoddluChar">
    <w:name w:val="Nadpis oddílu Char"/>
    <w:link w:val="Nadpisoddlu"/>
    <w:rsid w:val="00AB2F7F"/>
    <w:rPr>
      <w:i/>
      <w:smallCaps/>
      <w:sz w:val="24"/>
    </w:rPr>
  </w:style>
  <w:style w:type="paragraph" w:customStyle="1" w:styleId="Stanovisko-text">
    <w:name w:val="Stanovisko-text"/>
    <w:basedOn w:val="Normln"/>
    <w:link w:val="Stanovisko-textChar"/>
    <w:rsid w:val="0041431E"/>
    <w:pPr>
      <w:numPr>
        <w:numId w:val="5"/>
      </w:numPr>
      <w:tabs>
        <w:tab w:val="clear" w:pos="644"/>
        <w:tab w:val="left" w:pos="993"/>
      </w:tabs>
      <w:spacing w:after="100"/>
      <w:ind w:firstLine="425"/>
      <w:jc w:val="both"/>
    </w:pPr>
    <w:rPr>
      <w:sz w:val="24"/>
      <w:szCs w:val="24"/>
      <w:lang w:val="en-GB"/>
    </w:rPr>
  </w:style>
  <w:style w:type="character" w:customStyle="1" w:styleId="Stanovisko-textChar">
    <w:name w:val="Stanovisko-text Char"/>
    <w:link w:val="Stanovisko-text"/>
    <w:rsid w:val="0041431E"/>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0103">
      <w:bodyDiv w:val="1"/>
      <w:marLeft w:val="0"/>
      <w:marRight w:val="0"/>
      <w:marTop w:val="0"/>
      <w:marBottom w:val="0"/>
      <w:divBdr>
        <w:top w:val="none" w:sz="0" w:space="0" w:color="auto"/>
        <w:left w:val="none" w:sz="0" w:space="0" w:color="auto"/>
        <w:bottom w:val="none" w:sz="0" w:space="0" w:color="auto"/>
        <w:right w:val="none" w:sz="0" w:space="0" w:color="auto"/>
      </w:divBdr>
    </w:div>
    <w:div w:id="94250909">
      <w:bodyDiv w:val="1"/>
      <w:marLeft w:val="0"/>
      <w:marRight w:val="0"/>
      <w:marTop w:val="0"/>
      <w:marBottom w:val="0"/>
      <w:divBdr>
        <w:top w:val="none" w:sz="0" w:space="0" w:color="auto"/>
        <w:left w:val="none" w:sz="0" w:space="0" w:color="auto"/>
        <w:bottom w:val="none" w:sz="0" w:space="0" w:color="auto"/>
        <w:right w:val="none" w:sz="0" w:space="0" w:color="auto"/>
      </w:divBdr>
    </w:div>
    <w:div w:id="519856497">
      <w:bodyDiv w:val="1"/>
      <w:marLeft w:val="0"/>
      <w:marRight w:val="0"/>
      <w:marTop w:val="0"/>
      <w:marBottom w:val="0"/>
      <w:divBdr>
        <w:top w:val="none" w:sz="0" w:space="0" w:color="auto"/>
        <w:left w:val="none" w:sz="0" w:space="0" w:color="auto"/>
        <w:bottom w:val="none" w:sz="0" w:space="0" w:color="auto"/>
        <w:right w:val="none" w:sz="0" w:space="0" w:color="auto"/>
      </w:divBdr>
    </w:div>
    <w:div w:id="610743253">
      <w:bodyDiv w:val="1"/>
      <w:marLeft w:val="0"/>
      <w:marRight w:val="0"/>
      <w:marTop w:val="0"/>
      <w:marBottom w:val="0"/>
      <w:divBdr>
        <w:top w:val="none" w:sz="0" w:space="0" w:color="auto"/>
        <w:left w:val="none" w:sz="0" w:space="0" w:color="auto"/>
        <w:bottom w:val="none" w:sz="0" w:space="0" w:color="auto"/>
        <w:right w:val="none" w:sz="0" w:space="0" w:color="auto"/>
      </w:divBdr>
    </w:div>
    <w:div w:id="672952130">
      <w:bodyDiv w:val="1"/>
      <w:marLeft w:val="0"/>
      <w:marRight w:val="0"/>
      <w:marTop w:val="0"/>
      <w:marBottom w:val="0"/>
      <w:divBdr>
        <w:top w:val="none" w:sz="0" w:space="0" w:color="auto"/>
        <w:left w:val="none" w:sz="0" w:space="0" w:color="auto"/>
        <w:bottom w:val="none" w:sz="0" w:space="0" w:color="auto"/>
        <w:right w:val="none" w:sz="0" w:space="0" w:color="auto"/>
      </w:divBdr>
    </w:div>
    <w:div w:id="749230750">
      <w:bodyDiv w:val="1"/>
      <w:marLeft w:val="0"/>
      <w:marRight w:val="0"/>
      <w:marTop w:val="0"/>
      <w:marBottom w:val="0"/>
      <w:divBdr>
        <w:top w:val="none" w:sz="0" w:space="0" w:color="auto"/>
        <w:left w:val="none" w:sz="0" w:space="0" w:color="auto"/>
        <w:bottom w:val="none" w:sz="0" w:space="0" w:color="auto"/>
        <w:right w:val="none" w:sz="0" w:space="0" w:color="auto"/>
      </w:divBdr>
    </w:div>
    <w:div w:id="749548973">
      <w:bodyDiv w:val="1"/>
      <w:marLeft w:val="0"/>
      <w:marRight w:val="0"/>
      <w:marTop w:val="0"/>
      <w:marBottom w:val="0"/>
      <w:divBdr>
        <w:top w:val="none" w:sz="0" w:space="0" w:color="auto"/>
        <w:left w:val="none" w:sz="0" w:space="0" w:color="auto"/>
        <w:bottom w:val="none" w:sz="0" w:space="0" w:color="auto"/>
        <w:right w:val="none" w:sz="0" w:space="0" w:color="auto"/>
      </w:divBdr>
    </w:div>
    <w:div w:id="750153352">
      <w:bodyDiv w:val="1"/>
      <w:marLeft w:val="0"/>
      <w:marRight w:val="0"/>
      <w:marTop w:val="0"/>
      <w:marBottom w:val="0"/>
      <w:divBdr>
        <w:top w:val="none" w:sz="0" w:space="0" w:color="auto"/>
        <w:left w:val="none" w:sz="0" w:space="0" w:color="auto"/>
        <w:bottom w:val="none" w:sz="0" w:space="0" w:color="auto"/>
        <w:right w:val="none" w:sz="0" w:space="0" w:color="auto"/>
      </w:divBdr>
    </w:div>
    <w:div w:id="798843183">
      <w:bodyDiv w:val="1"/>
      <w:marLeft w:val="0"/>
      <w:marRight w:val="0"/>
      <w:marTop w:val="0"/>
      <w:marBottom w:val="0"/>
      <w:divBdr>
        <w:top w:val="none" w:sz="0" w:space="0" w:color="auto"/>
        <w:left w:val="none" w:sz="0" w:space="0" w:color="auto"/>
        <w:bottom w:val="none" w:sz="0" w:space="0" w:color="auto"/>
        <w:right w:val="none" w:sz="0" w:space="0" w:color="auto"/>
      </w:divBdr>
    </w:div>
    <w:div w:id="839389358">
      <w:bodyDiv w:val="1"/>
      <w:marLeft w:val="0"/>
      <w:marRight w:val="0"/>
      <w:marTop w:val="0"/>
      <w:marBottom w:val="0"/>
      <w:divBdr>
        <w:top w:val="none" w:sz="0" w:space="0" w:color="auto"/>
        <w:left w:val="none" w:sz="0" w:space="0" w:color="auto"/>
        <w:bottom w:val="none" w:sz="0" w:space="0" w:color="auto"/>
        <w:right w:val="none" w:sz="0" w:space="0" w:color="auto"/>
      </w:divBdr>
    </w:div>
    <w:div w:id="978025969">
      <w:bodyDiv w:val="1"/>
      <w:marLeft w:val="0"/>
      <w:marRight w:val="0"/>
      <w:marTop w:val="0"/>
      <w:marBottom w:val="0"/>
      <w:divBdr>
        <w:top w:val="none" w:sz="0" w:space="0" w:color="auto"/>
        <w:left w:val="none" w:sz="0" w:space="0" w:color="auto"/>
        <w:bottom w:val="none" w:sz="0" w:space="0" w:color="auto"/>
        <w:right w:val="none" w:sz="0" w:space="0" w:color="auto"/>
      </w:divBdr>
    </w:div>
    <w:div w:id="984699896">
      <w:bodyDiv w:val="1"/>
      <w:marLeft w:val="0"/>
      <w:marRight w:val="0"/>
      <w:marTop w:val="0"/>
      <w:marBottom w:val="0"/>
      <w:divBdr>
        <w:top w:val="none" w:sz="0" w:space="0" w:color="auto"/>
        <w:left w:val="none" w:sz="0" w:space="0" w:color="auto"/>
        <w:bottom w:val="none" w:sz="0" w:space="0" w:color="auto"/>
        <w:right w:val="none" w:sz="0" w:space="0" w:color="auto"/>
      </w:divBdr>
    </w:div>
    <w:div w:id="1029183310">
      <w:bodyDiv w:val="1"/>
      <w:marLeft w:val="0"/>
      <w:marRight w:val="0"/>
      <w:marTop w:val="0"/>
      <w:marBottom w:val="0"/>
      <w:divBdr>
        <w:top w:val="none" w:sz="0" w:space="0" w:color="auto"/>
        <w:left w:val="none" w:sz="0" w:space="0" w:color="auto"/>
        <w:bottom w:val="none" w:sz="0" w:space="0" w:color="auto"/>
        <w:right w:val="none" w:sz="0" w:space="0" w:color="auto"/>
      </w:divBdr>
    </w:div>
    <w:div w:id="1097940028">
      <w:bodyDiv w:val="1"/>
      <w:marLeft w:val="0"/>
      <w:marRight w:val="0"/>
      <w:marTop w:val="0"/>
      <w:marBottom w:val="0"/>
      <w:divBdr>
        <w:top w:val="none" w:sz="0" w:space="0" w:color="auto"/>
        <w:left w:val="none" w:sz="0" w:space="0" w:color="auto"/>
        <w:bottom w:val="none" w:sz="0" w:space="0" w:color="auto"/>
        <w:right w:val="none" w:sz="0" w:space="0" w:color="auto"/>
      </w:divBdr>
    </w:div>
    <w:div w:id="1140075311">
      <w:bodyDiv w:val="1"/>
      <w:marLeft w:val="0"/>
      <w:marRight w:val="0"/>
      <w:marTop w:val="0"/>
      <w:marBottom w:val="0"/>
      <w:divBdr>
        <w:top w:val="none" w:sz="0" w:space="0" w:color="auto"/>
        <w:left w:val="none" w:sz="0" w:space="0" w:color="auto"/>
        <w:bottom w:val="none" w:sz="0" w:space="0" w:color="auto"/>
        <w:right w:val="none" w:sz="0" w:space="0" w:color="auto"/>
      </w:divBdr>
    </w:div>
    <w:div w:id="1153256301">
      <w:bodyDiv w:val="1"/>
      <w:marLeft w:val="0"/>
      <w:marRight w:val="0"/>
      <w:marTop w:val="0"/>
      <w:marBottom w:val="0"/>
      <w:divBdr>
        <w:top w:val="none" w:sz="0" w:space="0" w:color="auto"/>
        <w:left w:val="none" w:sz="0" w:space="0" w:color="auto"/>
        <w:bottom w:val="none" w:sz="0" w:space="0" w:color="auto"/>
        <w:right w:val="none" w:sz="0" w:space="0" w:color="auto"/>
      </w:divBdr>
    </w:div>
    <w:div w:id="1195968253">
      <w:bodyDiv w:val="1"/>
      <w:marLeft w:val="0"/>
      <w:marRight w:val="0"/>
      <w:marTop w:val="0"/>
      <w:marBottom w:val="0"/>
      <w:divBdr>
        <w:top w:val="none" w:sz="0" w:space="0" w:color="auto"/>
        <w:left w:val="none" w:sz="0" w:space="0" w:color="auto"/>
        <w:bottom w:val="none" w:sz="0" w:space="0" w:color="auto"/>
        <w:right w:val="none" w:sz="0" w:space="0" w:color="auto"/>
      </w:divBdr>
    </w:div>
    <w:div w:id="1284655014">
      <w:bodyDiv w:val="1"/>
      <w:marLeft w:val="0"/>
      <w:marRight w:val="0"/>
      <w:marTop w:val="0"/>
      <w:marBottom w:val="0"/>
      <w:divBdr>
        <w:top w:val="none" w:sz="0" w:space="0" w:color="auto"/>
        <w:left w:val="none" w:sz="0" w:space="0" w:color="auto"/>
        <w:bottom w:val="none" w:sz="0" w:space="0" w:color="auto"/>
        <w:right w:val="none" w:sz="0" w:space="0" w:color="auto"/>
      </w:divBdr>
    </w:div>
    <w:div w:id="1340081708">
      <w:bodyDiv w:val="1"/>
      <w:marLeft w:val="0"/>
      <w:marRight w:val="0"/>
      <w:marTop w:val="0"/>
      <w:marBottom w:val="0"/>
      <w:divBdr>
        <w:top w:val="none" w:sz="0" w:space="0" w:color="auto"/>
        <w:left w:val="none" w:sz="0" w:space="0" w:color="auto"/>
        <w:bottom w:val="none" w:sz="0" w:space="0" w:color="auto"/>
        <w:right w:val="none" w:sz="0" w:space="0" w:color="auto"/>
      </w:divBdr>
    </w:div>
    <w:div w:id="1382094277">
      <w:bodyDiv w:val="1"/>
      <w:marLeft w:val="0"/>
      <w:marRight w:val="0"/>
      <w:marTop w:val="0"/>
      <w:marBottom w:val="0"/>
      <w:divBdr>
        <w:top w:val="none" w:sz="0" w:space="0" w:color="auto"/>
        <w:left w:val="none" w:sz="0" w:space="0" w:color="auto"/>
        <w:bottom w:val="none" w:sz="0" w:space="0" w:color="auto"/>
        <w:right w:val="none" w:sz="0" w:space="0" w:color="auto"/>
      </w:divBdr>
    </w:div>
    <w:div w:id="1579635317">
      <w:bodyDiv w:val="1"/>
      <w:marLeft w:val="0"/>
      <w:marRight w:val="0"/>
      <w:marTop w:val="0"/>
      <w:marBottom w:val="0"/>
      <w:divBdr>
        <w:top w:val="none" w:sz="0" w:space="0" w:color="auto"/>
        <w:left w:val="none" w:sz="0" w:space="0" w:color="auto"/>
        <w:bottom w:val="none" w:sz="0" w:space="0" w:color="auto"/>
        <w:right w:val="none" w:sz="0" w:space="0" w:color="auto"/>
      </w:divBdr>
    </w:div>
    <w:div w:id="1580671816">
      <w:bodyDiv w:val="1"/>
      <w:marLeft w:val="0"/>
      <w:marRight w:val="0"/>
      <w:marTop w:val="0"/>
      <w:marBottom w:val="0"/>
      <w:divBdr>
        <w:top w:val="none" w:sz="0" w:space="0" w:color="auto"/>
        <w:left w:val="none" w:sz="0" w:space="0" w:color="auto"/>
        <w:bottom w:val="none" w:sz="0" w:space="0" w:color="auto"/>
        <w:right w:val="none" w:sz="0" w:space="0" w:color="auto"/>
      </w:divBdr>
    </w:div>
    <w:div w:id="1622029207">
      <w:bodyDiv w:val="1"/>
      <w:marLeft w:val="0"/>
      <w:marRight w:val="0"/>
      <w:marTop w:val="0"/>
      <w:marBottom w:val="0"/>
      <w:divBdr>
        <w:top w:val="none" w:sz="0" w:space="0" w:color="auto"/>
        <w:left w:val="none" w:sz="0" w:space="0" w:color="auto"/>
        <w:bottom w:val="none" w:sz="0" w:space="0" w:color="auto"/>
        <w:right w:val="none" w:sz="0" w:space="0" w:color="auto"/>
      </w:divBdr>
    </w:div>
    <w:div w:id="1680546684">
      <w:bodyDiv w:val="1"/>
      <w:marLeft w:val="0"/>
      <w:marRight w:val="0"/>
      <w:marTop w:val="0"/>
      <w:marBottom w:val="0"/>
      <w:divBdr>
        <w:top w:val="none" w:sz="0" w:space="0" w:color="auto"/>
        <w:left w:val="none" w:sz="0" w:space="0" w:color="auto"/>
        <w:bottom w:val="none" w:sz="0" w:space="0" w:color="auto"/>
        <w:right w:val="none" w:sz="0" w:space="0" w:color="auto"/>
      </w:divBdr>
    </w:div>
    <w:div w:id="1690452325">
      <w:bodyDiv w:val="1"/>
      <w:marLeft w:val="0"/>
      <w:marRight w:val="0"/>
      <w:marTop w:val="0"/>
      <w:marBottom w:val="0"/>
      <w:divBdr>
        <w:top w:val="none" w:sz="0" w:space="0" w:color="auto"/>
        <w:left w:val="none" w:sz="0" w:space="0" w:color="auto"/>
        <w:bottom w:val="none" w:sz="0" w:space="0" w:color="auto"/>
        <w:right w:val="none" w:sz="0" w:space="0" w:color="auto"/>
      </w:divBdr>
    </w:div>
    <w:div w:id="1694384637">
      <w:bodyDiv w:val="1"/>
      <w:marLeft w:val="0"/>
      <w:marRight w:val="0"/>
      <w:marTop w:val="0"/>
      <w:marBottom w:val="0"/>
      <w:divBdr>
        <w:top w:val="none" w:sz="0" w:space="0" w:color="auto"/>
        <w:left w:val="none" w:sz="0" w:space="0" w:color="auto"/>
        <w:bottom w:val="none" w:sz="0" w:space="0" w:color="auto"/>
        <w:right w:val="none" w:sz="0" w:space="0" w:color="auto"/>
      </w:divBdr>
    </w:div>
    <w:div w:id="1766069509">
      <w:bodyDiv w:val="1"/>
      <w:marLeft w:val="0"/>
      <w:marRight w:val="0"/>
      <w:marTop w:val="0"/>
      <w:marBottom w:val="0"/>
      <w:divBdr>
        <w:top w:val="none" w:sz="0" w:space="0" w:color="auto"/>
        <w:left w:val="none" w:sz="0" w:space="0" w:color="auto"/>
        <w:bottom w:val="none" w:sz="0" w:space="0" w:color="auto"/>
        <w:right w:val="none" w:sz="0" w:space="0" w:color="auto"/>
      </w:divBdr>
    </w:div>
    <w:div w:id="1945072252">
      <w:bodyDiv w:val="1"/>
      <w:marLeft w:val="0"/>
      <w:marRight w:val="0"/>
      <w:marTop w:val="0"/>
      <w:marBottom w:val="0"/>
      <w:divBdr>
        <w:top w:val="none" w:sz="0" w:space="0" w:color="auto"/>
        <w:left w:val="none" w:sz="0" w:space="0" w:color="auto"/>
        <w:bottom w:val="none" w:sz="0" w:space="0" w:color="auto"/>
        <w:right w:val="none" w:sz="0" w:space="0" w:color="auto"/>
      </w:divBdr>
    </w:div>
    <w:div w:id="1973552961">
      <w:bodyDiv w:val="1"/>
      <w:marLeft w:val="0"/>
      <w:marRight w:val="0"/>
      <w:marTop w:val="0"/>
      <w:marBottom w:val="0"/>
      <w:divBdr>
        <w:top w:val="none" w:sz="0" w:space="0" w:color="auto"/>
        <w:left w:val="none" w:sz="0" w:space="0" w:color="auto"/>
        <w:bottom w:val="none" w:sz="0" w:space="0" w:color="auto"/>
        <w:right w:val="none" w:sz="0" w:space="0" w:color="auto"/>
      </w:divBdr>
    </w:div>
    <w:div w:id="210633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zisoudy.cz/aktuality/strasbursky-soud-vydal-dva-vyznamne-rozsudky-proti-ceske-republice-k-uredni-zmene-pohlavi-a-k-pravu-na-obhajobu" TargetMode="External"/><Relationship Id="rId13" Type="http://schemas.openxmlformats.org/officeDocument/2006/relationships/hyperlink" Target="https://mv.gov.cz/soubor/informace-ovs-matrika-c-5-2025.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zd.gov.cz/tiskove-centrum-mz/ministerstvo-zdravotnictvi-vydava-novou-metodiku-pro-poskytovatele-zdravotnich-sluzeb-s-postupy-pro-uredni-zmenu-pohlav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stice.cz/web/msp/zpravodaj-kv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ezisoudy.cz/storage/files/kvz/Zpravodaj%20KVZ_2025_4.pdf" TargetMode="External"/><Relationship Id="rId4" Type="http://schemas.openxmlformats.org/officeDocument/2006/relationships/settings" Target="settings.xml"/><Relationship Id="rId9" Type="http://schemas.openxmlformats.org/officeDocument/2006/relationships/hyperlink" Target="https://mezisoudy.cz/databaze-judikatury"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mezisoudy.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5D7C8-9532-4856-BDDF-B0C8E7FF2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1383</Words>
  <Characters>7628</Characters>
  <Application>Microsoft Office Word</Application>
  <DocSecurity>4</DocSecurity>
  <Lines>63</Lines>
  <Paragraphs>17</Paragraphs>
  <ScaleCrop>false</ScaleCrop>
  <HeadingPairs>
    <vt:vector size="2" baseType="variant">
      <vt:variant>
        <vt:lpstr>Název</vt:lpstr>
      </vt:variant>
      <vt:variant>
        <vt:i4>1</vt:i4>
      </vt:variant>
    </vt:vector>
  </HeadingPairs>
  <TitlesOfParts>
    <vt:vector size="1" baseType="lpstr">
      <vt:lpstr>Stanovisko vlády České republiky</vt:lpstr>
    </vt:vector>
  </TitlesOfParts>
  <Company>MSp</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Stanovisko vlády České republiky</dc:title>
  <dc:subject/>
  <dc:creator>Kaštyl Miroslav Mgr.</dc:creator>
  <cp:keywords/>
  <cp:lastModifiedBy>Konůpka Petr Mgr.</cp:lastModifiedBy>
  <cp:revision>2</cp:revision>
  <cp:lastPrinted>2002-07-09T15:11:00Z</cp:lastPrinted>
  <dcterms:created xsi:type="dcterms:W3CDTF">2026-03-11T11:08:00Z</dcterms:created>
  <dcterms:modified xsi:type="dcterms:W3CDTF">2026-03-11T11:08:00Z</dcterms:modified>
  <cp:contentStatus/>
</cp:coreProperties>
</file>