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A329" w14:textId="51FDE63B" w:rsidR="00510838" w:rsidRPr="00494C09" w:rsidRDefault="00494C09" w:rsidP="00F76583">
      <w:pPr>
        <w:pStyle w:val="Nadpishlavn"/>
        <w:rPr>
          <w:i/>
        </w:rPr>
      </w:pPr>
      <w:r w:rsidRPr="00494C09">
        <w:t>Výkon rozsudku Evropského soudu pro lidská práva</w:t>
      </w:r>
      <w:r w:rsidR="002C1F01" w:rsidRPr="00494C09">
        <w:br/>
      </w:r>
      <w:r w:rsidRPr="00494C09">
        <w:t>ve věci č.</w:t>
      </w:r>
      <w:r w:rsidR="002C1F01" w:rsidRPr="00494C09">
        <w:t xml:space="preserve"> </w:t>
      </w:r>
      <w:r w:rsidR="00A30046" w:rsidRPr="00494C09">
        <w:t>3</w:t>
      </w:r>
      <w:r w:rsidR="00F76583" w:rsidRPr="00494C09">
        <w:t>3037</w:t>
      </w:r>
      <w:r w:rsidR="00A30046" w:rsidRPr="00494C09">
        <w:t>/2</w:t>
      </w:r>
      <w:r w:rsidR="00F76583" w:rsidRPr="00494C09">
        <w:t>2</w:t>
      </w:r>
      <w:r w:rsidR="00A30046" w:rsidRPr="00494C09">
        <w:t xml:space="preserve"> </w:t>
      </w:r>
      <w:r w:rsidR="00C44853" w:rsidRPr="00494C09">
        <w:t xml:space="preserve">– </w:t>
      </w:r>
      <w:r w:rsidR="00F76583" w:rsidRPr="00494C09">
        <w:rPr>
          <w:i/>
        </w:rPr>
        <w:t>T.</w:t>
      </w:r>
      <w:r w:rsidR="00387EDB">
        <w:rPr>
          <w:i/>
        </w:rPr>
        <w:t xml:space="preserve"> </w:t>
      </w:r>
      <w:r w:rsidR="00F76583" w:rsidRPr="00494C09">
        <w:rPr>
          <w:i/>
        </w:rPr>
        <w:t>H.</w:t>
      </w:r>
      <w:r w:rsidR="00C44853" w:rsidRPr="00494C09">
        <w:rPr>
          <w:i/>
        </w:rPr>
        <w:t xml:space="preserve"> </w:t>
      </w:r>
      <w:r w:rsidRPr="00494C09">
        <w:rPr>
          <w:i/>
        </w:rPr>
        <w:t>proti České republice</w:t>
      </w:r>
    </w:p>
    <w:p w14:paraId="5A21AB23" w14:textId="229CC14D" w:rsidR="00AF3177" w:rsidRPr="00494C09" w:rsidRDefault="002C1F01" w:rsidP="00B068C6">
      <w:pPr>
        <w:pStyle w:val="Nadpishlavn"/>
        <w:rPr>
          <w:i/>
        </w:rPr>
      </w:pPr>
      <w:r w:rsidRPr="00494C09">
        <w:br/>
      </w:r>
      <w:r w:rsidR="00AF3177" w:rsidRPr="00494C09">
        <w:t>A</w:t>
      </w:r>
      <w:r w:rsidR="00494C09" w:rsidRPr="00494C09">
        <w:t>kční zpráva předložená vládou České</w:t>
      </w:r>
      <w:r w:rsidRPr="00494C09">
        <w:t xml:space="preserve"> </w:t>
      </w:r>
      <w:r w:rsidR="00494C09" w:rsidRPr="00494C09">
        <w:t xml:space="preserve">republiky dne </w:t>
      </w:r>
      <w:r w:rsidR="00F76583" w:rsidRPr="00494C09">
        <w:t>1</w:t>
      </w:r>
      <w:r w:rsidR="009306DA" w:rsidRPr="00494C09">
        <w:t>1</w:t>
      </w:r>
      <w:r w:rsidR="00494C09" w:rsidRPr="00494C09">
        <w:t xml:space="preserve">. </w:t>
      </w:r>
      <w:r w:rsidR="00494C09">
        <w:t>b</w:t>
      </w:r>
      <w:r w:rsidR="00494C09" w:rsidRPr="00494C09">
        <w:t xml:space="preserve">řezna </w:t>
      </w:r>
      <w:r w:rsidR="00AB1570" w:rsidRPr="00494C09">
        <w:t>20</w:t>
      </w:r>
      <w:r w:rsidR="000928E3" w:rsidRPr="00494C09">
        <w:t>2</w:t>
      </w:r>
      <w:r w:rsidR="00F76583" w:rsidRPr="00494C09">
        <w:t>6</w:t>
      </w:r>
    </w:p>
    <w:p w14:paraId="58B27C4B" w14:textId="0C7E80CB" w:rsidR="00494C09" w:rsidRDefault="00494C09" w:rsidP="00494C09">
      <w:pPr>
        <w:pStyle w:val="Textodstavce"/>
        <w:spacing w:before="360"/>
      </w:pPr>
      <w:r w:rsidRPr="00494C09">
        <w:t xml:space="preserve">V rozsudku ve věci </w:t>
      </w:r>
      <w:r w:rsidRPr="00494C09">
        <w:rPr>
          <w:i/>
          <w:iCs/>
        </w:rPr>
        <w:t>T. H. proti České republice</w:t>
      </w:r>
      <w:r>
        <w:t xml:space="preserve"> ze dne 12. června 2025, který nabyl právní moci v souladu </w:t>
      </w:r>
      <w:r w:rsidRPr="00A31CDB">
        <w:t>s článkem 44 odst. 2 písm. b) Úmluvy, Evropský soud pro lidská práva (dále jen "Soud") rozhodl, že došlo k</w:t>
      </w:r>
      <w:r>
        <w:t> </w:t>
      </w:r>
      <w:r w:rsidRPr="00A31CDB">
        <w:t>porušení</w:t>
      </w:r>
      <w:r>
        <w:t xml:space="preserve"> článku 8 Úmluvy, protože žádost stěžovatelky o úřední změnu pohlaví byla odmítnuta z důvodu nesplnění požadavku chirurgického zákroku spojeného se sterilizací.</w:t>
      </w:r>
    </w:p>
    <w:p w14:paraId="1390E65E" w14:textId="0F0532EF" w:rsidR="00494C09" w:rsidRPr="00494C09" w:rsidRDefault="00494C09" w:rsidP="00494C09">
      <w:pPr>
        <w:pStyle w:val="Textodstavce"/>
        <w:spacing w:before="360"/>
      </w:pPr>
      <w:r>
        <w:t>Cílem této akční zprávy je informovat Výbor ministrů o individuálních i obecných opatřeních, která byla přijata za účelem výkonu výše uvedeného rozsudku</w:t>
      </w:r>
      <w:r w:rsidR="00CA7F40">
        <w:t>.</w:t>
      </w:r>
    </w:p>
    <w:p w14:paraId="21E45F9B" w14:textId="402F0466" w:rsidR="00AF3177" w:rsidRPr="00AC3A5E" w:rsidRDefault="00AF3177" w:rsidP="00242A3B">
      <w:pPr>
        <w:pStyle w:val="Nadpissti"/>
        <w:spacing w:before="360"/>
        <w:rPr>
          <w:lang w:val="en-GB"/>
        </w:rPr>
      </w:pPr>
      <w:r w:rsidRPr="00AC3A5E">
        <w:rPr>
          <w:lang w:val="en-GB"/>
        </w:rPr>
        <w:t xml:space="preserve">I. </w:t>
      </w:r>
      <w:r w:rsidR="00593E3E" w:rsidRPr="00AC3A5E">
        <w:rPr>
          <w:lang w:val="en-GB"/>
        </w:rPr>
        <w:t>I</w:t>
      </w:r>
      <w:r w:rsidR="00494C09">
        <w:rPr>
          <w:lang w:val="en-GB"/>
        </w:rPr>
        <w:t>NDIVIDUÁLNÍ OPATŘENÍ</w:t>
      </w:r>
    </w:p>
    <w:p w14:paraId="51347FC5" w14:textId="46E1D392" w:rsidR="0080464E" w:rsidRDefault="00494C09" w:rsidP="00494C09">
      <w:pPr>
        <w:pStyle w:val="Textodstavce"/>
        <w:rPr>
          <w:lang w:val="en-GB"/>
        </w:rPr>
      </w:pPr>
      <w:r w:rsidRPr="00494C09">
        <w:t xml:space="preserve">Spravedlivé </w:t>
      </w:r>
      <w:r>
        <w:t>zadostiučinění přiznané Soudem ve výší 2 000 eur bylo s stěžovatelce vyplaceno dne 2. prosince 2025</w:t>
      </w:r>
      <w:r w:rsidR="000F5680" w:rsidRPr="002D0DB7">
        <w:rPr>
          <w:lang w:val="en-GB"/>
        </w:rPr>
        <w:t>.</w:t>
      </w:r>
      <w:r w:rsidR="0080464E" w:rsidRPr="002D0DB7">
        <w:rPr>
          <w:rStyle w:val="Znakapoznpodarou"/>
          <w:lang w:val="en-GB"/>
        </w:rPr>
        <w:footnoteReference w:id="1"/>
      </w:r>
    </w:p>
    <w:p w14:paraId="3326EB9D" w14:textId="6F2F7966" w:rsidR="00444968" w:rsidRPr="00DA2078" w:rsidRDefault="00DA2078" w:rsidP="00DA2078">
      <w:pPr>
        <w:pStyle w:val="Textodstavce"/>
      </w:pPr>
      <w:r w:rsidRPr="00A31CDB">
        <w:t xml:space="preserve">Vláda připomíná, že zákon o Ústavním soudu nabízí možnost </w:t>
      </w:r>
      <w:r w:rsidRPr="00DA2078">
        <w:t>požádat o obnovu řízení před Ústavním soudem v návaznosti na vydání rozhodnutí Soudu</w:t>
      </w:r>
      <w:r w:rsidR="005768EA" w:rsidRPr="00DA2078">
        <w:t>.</w:t>
      </w:r>
      <w:r w:rsidR="005768EA" w:rsidRPr="00DA2078">
        <w:rPr>
          <w:rStyle w:val="Znakapoznpodarou"/>
        </w:rPr>
        <w:footnoteReference w:id="2"/>
      </w:r>
      <w:r w:rsidR="005768EA" w:rsidRPr="00DA2078">
        <w:t xml:space="preserve"> </w:t>
      </w:r>
      <w:r w:rsidRPr="00DA2078">
        <w:t>Stěžovatelka tuto možnost nevyužila.</w:t>
      </w:r>
    </w:p>
    <w:p w14:paraId="462D42F7" w14:textId="13180CB1" w:rsidR="00DA2078" w:rsidRDefault="00DA2078" w:rsidP="00DA2078">
      <w:pPr>
        <w:pStyle w:val="Textodstavce"/>
      </w:pPr>
      <w:r w:rsidRPr="00DA2078">
        <w:t xml:space="preserve">A nakonec, </w:t>
      </w:r>
      <w:r>
        <w:t>jak ve uvedeno v části II.B této akční zprávy, od 1. července 2025 je možné, aby stěžovatelka (stejně jako všichni ostatní trans lidé v České republice) požádala o úřední změnu pohlaví, aniž by musela podstoupit chirurgický zákrok spojený či sterilizaci. Znamená to, že pokud si bude stěžovatelka přát úřední změnu pohlaví, nejrychlejší a nejjednodušší cestou pro ni po 1. červenci 2025 nebude požádat o obnovu svého řízení na Ústavním soudě, ale podat žádost za tímto účelem přímo příslušným správním orgánům.</w:t>
      </w:r>
    </w:p>
    <w:p w14:paraId="78239173" w14:textId="44F49B80" w:rsidR="00DA2078" w:rsidRPr="00A31CDB" w:rsidRDefault="00DA2078" w:rsidP="00DA2078">
      <w:pPr>
        <w:pStyle w:val="Textodstavce"/>
      </w:pPr>
      <w:r>
        <w:t xml:space="preserve">S </w:t>
      </w:r>
      <w:r w:rsidRPr="00A31CDB">
        <w:t>ohledem na výše uvedené se vláda domnívá, že v případě stěžovatel</w:t>
      </w:r>
      <w:r>
        <w:t>k</w:t>
      </w:r>
      <w:r>
        <w:t>y</w:t>
      </w:r>
      <w:r w:rsidRPr="00A31CDB">
        <w:t xml:space="preserve"> není třeba přijímat žádná další individuální opatření.</w:t>
      </w:r>
    </w:p>
    <w:p w14:paraId="4F3E4060" w14:textId="5D61D3EB" w:rsidR="00AF3177" w:rsidRPr="00AC3A5E" w:rsidRDefault="00AF3177" w:rsidP="00242A3B">
      <w:pPr>
        <w:pStyle w:val="Nadpissti"/>
        <w:spacing w:before="360"/>
        <w:rPr>
          <w:lang w:val="en-GB"/>
        </w:rPr>
      </w:pPr>
      <w:r w:rsidRPr="00AC3A5E">
        <w:rPr>
          <w:lang w:val="en-GB"/>
        </w:rPr>
        <w:t xml:space="preserve">II. </w:t>
      </w:r>
      <w:r w:rsidR="00DA2078">
        <w:rPr>
          <w:lang w:val="en-GB"/>
        </w:rPr>
        <w:t>OBECNÁ OPATŘENÍ</w:t>
      </w:r>
    </w:p>
    <w:p w14:paraId="22387AC5" w14:textId="0A54A640" w:rsidR="00C001AF" w:rsidRPr="00DA2078" w:rsidRDefault="00C001AF" w:rsidP="00242A3B">
      <w:pPr>
        <w:pStyle w:val="Nadpispodsti"/>
        <w:spacing w:before="300"/>
        <w:rPr>
          <w:i/>
          <w:iCs/>
          <w:u w:val="none"/>
          <w:lang w:val="pt-PT"/>
        </w:rPr>
      </w:pPr>
      <w:r w:rsidRPr="00DA2078">
        <w:rPr>
          <w:i/>
          <w:iCs/>
          <w:u w:val="none"/>
          <w:lang w:val="pt-PT"/>
        </w:rPr>
        <w:t xml:space="preserve">A. </w:t>
      </w:r>
      <w:r w:rsidR="00DA2078" w:rsidRPr="00DA2078">
        <w:rPr>
          <w:i/>
          <w:iCs/>
          <w:u w:val="none"/>
          <w:lang w:val="pt-PT"/>
        </w:rPr>
        <w:t>ZVYŠOVÁNÍ POVĚDOMÍ A A</w:t>
      </w:r>
      <w:r w:rsidR="00DA2078">
        <w:rPr>
          <w:i/>
          <w:iCs/>
          <w:u w:val="none"/>
          <w:lang w:val="pt-PT"/>
        </w:rPr>
        <w:t>NALÝZA ROZSUDKU</w:t>
      </w:r>
    </w:p>
    <w:p w14:paraId="5D127719" w14:textId="7828BB26" w:rsidR="00CA7F40" w:rsidRDefault="00DA2078" w:rsidP="00CA7F40">
      <w:pPr>
        <w:pStyle w:val="Textodstavce"/>
      </w:pPr>
      <w:r w:rsidRPr="00A31CDB">
        <w:t>Ministerstvo spravedlnosti informovalo veřejnost o rozsud</w:t>
      </w:r>
      <w:r>
        <w:t>ku</w:t>
      </w:r>
      <w:r w:rsidRPr="00A31CDB">
        <w:t xml:space="preserve"> bezprostředně po je</w:t>
      </w:r>
      <w:r>
        <w:t>h</w:t>
      </w:r>
      <w:r>
        <w:t>o</w:t>
      </w:r>
      <w:r w:rsidRPr="00A31CDB">
        <w:t xml:space="preserve"> vyhlášení form</w:t>
      </w:r>
      <w:r>
        <w:t xml:space="preserve">ou </w:t>
      </w:r>
      <w:hyperlink r:id="rId8" w:history="1">
        <w:r w:rsidRPr="00CA7F40">
          <w:rPr>
            <w:rStyle w:val="Hypertextovodkaz"/>
          </w:rPr>
          <w:t>tiskov</w:t>
        </w:r>
        <w:r w:rsidRPr="00CA7F40">
          <w:rPr>
            <w:rStyle w:val="Hypertextovodkaz"/>
          </w:rPr>
          <w:t>é zprávy</w:t>
        </w:r>
      </w:hyperlink>
      <w:r>
        <w:t>.</w:t>
      </w:r>
      <w:r w:rsidR="00CA7F40">
        <w:t xml:space="preserve"> </w:t>
      </w:r>
      <w:r w:rsidR="00CA7F40" w:rsidRPr="00A31CDB">
        <w:t>Dále zveřejnilo česk</w:t>
      </w:r>
      <w:r w:rsidR="00CA7F40">
        <w:t>ý</w:t>
      </w:r>
      <w:r w:rsidR="00CA7F40" w:rsidRPr="00A31CDB">
        <w:t xml:space="preserve"> překlad</w:t>
      </w:r>
      <w:r w:rsidR="00CA7F40">
        <w:t xml:space="preserve"> </w:t>
      </w:r>
      <w:r w:rsidR="00CA7F40" w:rsidRPr="00A31CDB">
        <w:t>rozsudk</w:t>
      </w:r>
      <w:r w:rsidR="00CA7F40">
        <w:t>u</w:t>
      </w:r>
      <w:r w:rsidR="00CA7F40" w:rsidRPr="00A31CDB">
        <w:t xml:space="preserve"> </w:t>
      </w:r>
      <w:r w:rsidR="00CA7F40">
        <w:t xml:space="preserve">a jeho anotaci </w:t>
      </w:r>
      <w:r w:rsidR="00CA7F40" w:rsidRPr="00A31CDB">
        <w:t>ve své internetové databázi mezinárodní lidskoprávní judikatury (</w:t>
      </w:r>
      <w:hyperlink r:id="rId9" w:history="1">
        <w:r w:rsidR="00CA7F40" w:rsidRPr="00A31CDB">
          <w:rPr>
            <w:rStyle w:val="Hypertextovodkaz"/>
          </w:rPr>
          <w:t>mezisoudy.cz</w:t>
        </w:r>
      </w:hyperlink>
      <w:r w:rsidR="00CA7F40" w:rsidRPr="00A31CDB">
        <w:t>)</w:t>
      </w:r>
      <w:r w:rsidR="00CA7F40" w:rsidRPr="00A31CDB">
        <w:rPr>
          <w:rStyle w:val="Znakapoznpodarou"/>
        </w:rPr>
        <w:footnoteReference w:id="3"/>
      </w:r>
      <w:r w:rsidR="00CA7F40" w:rsidRPr="00A31CDB">
        <w:t xml:space="preserve"> a je</w:t>
      </w:r>
      <w:r w:rsidR="00CA7F40">
        <w:t>ho</w:t>
      </w:r>
      <w:r w:rsidR="00CA7F40" w:rsidRPr="00A31CDB">
        <w:t xml:space="preserve"> </w:t>
      </w:r>
      <w:r w:rsidR="00CA7F40">
        <w:t>anotac</w:t>
      </w:r>
      <w:r w:rsidR="00CA7F40">
        <w:t>i</w:t>
      </w:r>
      <w:r w:rsidR="00CA7F40" w:rsidRPr="00A31CDB">
        <w:t xml:space="preserve"> </w:t>
      </w:r>
      <w:r w:rsidR="00CA7F40">
        <w:t xml:space="preserve">také </w:t>
      </w:r>
      <w:r w:rsidR="00CA7F40" w:rsidRPr="00A31CDB">
        <w:lastRenderedPageBreak/>
        <w:t xml:space="preserve">ve Zpravodaji </w:t>
      </w:r>
      <w:r w:rsidR="00CA7F40">
        <w:t xml:space="preserve">Kanceláře </w:t>
      </w:r>
      <w:r w:rsidR="00CA7F40" w:rsidRPr="00A31CDB">
        <w:t xml:space="preserve">vládního zmocněnce </w:t>
      </w:r>
      <w:r w:rsidR="00CA7F40">
        <w:t xml:space="preserve">č. </w:t>
      </w:r>
      <w:hyperlink r:id="rId10" w:history="1">
        <w:r w:rsidR="00CA7F40" w:rsidRPr="00CA7F40">
          <w:rPr>
            <w:rStyle w:val="Hypertextovodkaz"/>
          </w:rPr>
          <w:t>4/2025</w:t>
        </w:r>
      </w:hyperlink>
      <w:r w:rsidR="00CA7F40">
        <w:t xml:space="preserve">. </w:t>
      </w:r>
      <w:r w:rsidR="00CA7F40" w:rsidRPr="00A31CDB">
        <w:t>Kromě toho byl</w:t>
      </w:r>
      <w:r w:rsidR="003662AF">
        <w:t>y</w:t>
      </w:r>
      <w:r w:rsidR="00CA7F40" w:rsidRPr="00A31CDB">
        <w:t xml:space="preserve"> překlad rozsudk</w:t>
      </w:r>
      <w:r w:rsidR="00CA7F40">
        <w:t>u</w:t>
      </w:r>
      <w:r w:rsidR="00CA7F40" w:rsidRPr="00A31CDB">
        <w:t xml:space="preserve"> </w:t>
      </w:r>
      <w:r w:rsidR="003662AF">
        <w:t>a</w:t>
      </w:r>
      <w:r w:rsidR="00CA7F40" w:rsidRPr="00A31CDB">
        <w:t xml:space="preserve"> je</w:t>
      </w:r>
      <w:r w:rsidR="00CA7F40">
        <w:t>h</w:t>
      </w:r>
      <w:r w:rsidR="00CA7F40">
        <w:t>o</w:t>
      </w:r>
      <w:r w:rsidR="00CA7F40" w:rsidRPr="00A31CDB">
        <w:t xml:space="preserve"> </w:t>
      </w:r>
      <w:r w:rsidR="00CA7F40">
        <w:t>anotace</w:t>
      </w:r>
      <w:r w:rsidR="00CA7F40" w:rsidRPr="00A31CDB">
        <w:t xml:space="preserve"> zaslány všem orgánům veřejné moci, které se případem zabývaly.</w:t>
      </w:r>
    </w:p>
    <w:p w14:paraId="2463AFCE" w14:textId="6EACDEB0" w:rsidR="005F0FB6" w:rsidRPr="00AB06F6" w:rsidRDefault="00C73CFE" w:rsidP="00242A3B">
      <w:pPr>
        <w:pStyle w:val="Nadpispodsti"/>
        <w:spacing w:before="300"/>
        <w:rPr>
          <w:i/>
          <w:iCs/>
          <w:u w:val="none"/>
          <w:lang w:val="en-GB"/>
        </w:rPr>
      </w:pPr>
      <w:r w:rsidRPr="00AB06F6">
        <w:rPr>
          <w:i/>
          <w:iCs/>
          <w:u w:val="none"/>
          <w:lang w:val="en-GB"/>
        </w:rPr>
        <w:t>B</w:t>
      </w:r>
      <w:r w:rsidR="00AC3A5E" w:rsidRPr="00AB06F6">
        <w:rPr>
          <w:i/>
          <w:iCs/>
          <w:u w:val="none"/>
          <w:lang w:val="en-GB"/>
        </w:rPr>
        <w:t xml:space="preserve">. </w:t>
      </w:r>
      <w:r w:rsidR="00CA7F40">
        <w:rPr>
          <w:i/>
          <w:iCs/>
          <w:u w:val="none"/>
          <w:lang w:val="en-GB"/>
        </w:rPr>
        <w:t>ZMĚNY V ČESKÉM PRÁVU PO ROZSUDKU</w:t>
      </w:r>
    </w:p>
    <w:p w14:paraId="11882E13" w14:textId="1DC32856" w:rsidR="00CA7F40" w:rsidRPr="00CA7F40" w:rsidRDefault="00CA7F40" w:rsidP="00CA7F40">
      <w:pPr>
        <w:pStyle w:val="Textodstavce"/>
      </w:pPr>
      <w:r w:rsidRPr="00CA7F40">
        <w:t xml:space="preserve">Jak </w:t>
      </w:r>
      <w:r>
        <w:t xml:space="preserve">upozornil </w:t>
      </w:r>
      <w:r w:rsidRPr="00CA7F40">
        <w:t xml:space="preserve">sám </w:t>
      </w:r>
      <w:r>
        <w:t xml:space="preserve">Soud ve výše uvedeném rozsudku, v judikatuře českých soudů došlo po vnitrostátním řízení iniciovaném stěžovatelkou k novému </w:t>
      </w:r>
      <w:r w:rsidRPr="00CA7F40">
        <w:t xml:space="preserve">vývoji. Zejména, český Ústavní soud ve svém plenárním nálezu </w:t>
      </w:r>
      <w:proofErr w:type="spellStart"/>
      <w:r w:rsidRPr="00CA7F40">
        <w:t>sp</w:t>
      </w:r>
      <w:proofErr w:type="spellEnd"/>
      <w:r w:rsidRPr="00CA7F40">
        <w:t>. zn</w:t>
      </w:r>
      <w:r w:rsidR="0012274F" w:rsidRPr="00CA7F40">
        <w:t xml:space="preserve">. </w:t>
      </w:r>
      <w:proofErr w:type="spellStart"/>
      <w:r w:rsidR="0012274F" w:rsidRPr="00CA7F40">
        <w:t>Pl</w:t>
      </w:r>
      <w:proofErr w:type="spellEnd"/>
      <w:r w:rsidR="0012274F" w:rsidRPr="00CA7F40">
        <w:t xml:space="preserve">. ÚS 52/23 </w:t>
      </w:r>
      <w:r w:rsidRPr="00CA7F40">
        <w:t>ze dne 24. dubna 2024</w:t>
      </w:r>
      <w:r>
        <w:t xml:space="preserve"> rozhodl o zrušení první věty § 29 odst. 1 občanského zákoníku a první věty § 21 odst. 1 zákona o specifických zdravotních službách, tj. t</w:t>
      </w:r>
      <w:r w:rsidR="003662AF">
        <w:t>ěch</w:t>
      </w:r>
      <w:r>
        <w:t xml:space="preserve"> zákonn</w:t>
      </w:r>
      <w:r w:rsidR="003662AF">
        <w:t>ých</w:t>
      </w:r>
      <w:r>
        <w:t xml:space="preserve"> ustanovení, která za účelem úřední změny pohlaví vyžadovala chirurgický zákrok spojený se sterilizací. Ústavní soud, odkazujíc mj. na judikaturu Soudu, uvedl, že tento požadavek </w:t>
      </w:r>
      <w:r w:rsidR="00387EDB">
        <w:t xml:space="preserve">představuje významný zásah do tělesné integrity trans lidí, jakož i do jejich práva na sebeurčení a osobní autonomie. Zároveň Ústavní soud odložil vykonatelnost svého zrušujícího nálezu do </w:t>
      </w:r>
      <w:r w:rsidR="003662AF">
        <w:t xml:space="preserve">dne </w:t>
      </w:r>
      <w:r w:rsidR="00387EDB">
        <w:t>30. června 2025, aby tak poskytl zákonodárci dostatečný prostor</w:t>
      </w:r>
      <w:r w:rsidR="003662AF">
        <w:t xml:space="preserve"> k nové úpravě </w:t>
      </w:r>
      <w:r w:rsidR="00387EDB">
        <w:t>podmín</w:t>
      </w:r>
      <w:r w:rsidR="003662AF">
        <w:t>ek</w:t>
      </w:r>
      <w:r w:rsidR="00387EDB">
        <w:t xml:space="preserve"> změny pohlaví. Rovněž uvedl, že citovaná ustanovení ztratí účinnost k výše uvedenému datu, i když do té doby nebude přijata nová úprava; v tom případě se bude úřední změna pohlaví na zákonné úrovni řídit pouze zbývající částí příslušného ustanovení občanského zákoníku, dle níž je tato změna podmíněna „potvrzením vydaným poskytovatelem zdravotních služeb“ (viz § 23–24 rozsudku Soudu). </w:t>
      </w:r>
    </w:p>
    <w:p w14:paraId="608D7C56" w14:textId="23E4B7AD" w:rsidR="00CA7F40" w:rsidRDefault="008F3FD0" w:rsidP="00CA7F40">
      <w:pPr>
        <w:pStyle w:val="Textodstavce"/>
      </w:pPr>
      <w:r>
        <w:t>Pokud jde o další vývoj na vnitrostátní úrovni, vláda uvádí, že příslušná zákonná ustanovení skutečně pozbyla účinnosti dne 30. června 2025. Vzhledem k tomu, že v mezidobí nebylo v parlamentu dosaženo politického konsenzu ohledně přijetí nové úpravy v této oblasti, od 1. července 2025 jsou podmínky úřední změny pohlaví nově stanoveny v následujících dvou metodikách:</w:t>
      </w:r>
    </w:p>
    <w:p w14:paraId="58F6D0DC" w14:textId="6C9CB307" w:rsidR="00E155E3" w:rsidRDefault="008F3FD0" w:rsidP="008F3FD0">
      <w:pPr>
        <w:pStyle w:val="Textodstavce"/>
        <w:numPr>
          <w:ilvl w:val="0"/>
          <w:numId w:val="7"/>
        </w:numPr>
      </w:pPr>
      <w:r w:rsidRPr="008F3FD0">
        <w:rPr>
          <w:i/>
          <w:iCs/>
        </w:rPr>
        <w:t>zaprvé</w:t>
      </w:r>
      <w:r>
        <w:t xml:space="preserve">, metodický pokyn vydaný Ministerstvem zdravotnictví, dostupný </w:t>
      </w:r>
      <w:hyperlink r:id="rId11" w:history="1">
        <w:r>
          <w:rPr>
            <w:rStyle w:val="Hypertextovodkaz"/>
          </w:rPr>
          <w:t>zde</w:t>
        </w:r>
      </w:hyperlink>
      <w:r w:rsidR="00E155E3" w:rsidRPr="008F3FD0">
        <w:t>;</w:t>
      </w:r>
      <w:r w:rsidR="00530EF8" w:rsidRPr="008F3FD0">
        <w:t xml:space="preserve"> a</w:t>
      </w:r>
    </w:p>
    <w:p w14:paraId="01A36F44" w14:textId="172F3A78" w:rsidR="008F3FD0" w:rsidRPr="008F3FD0" w:rsidRDefault="008F3FD0" w:rsidP="008F3FD0">
      <w:pPr>
        <w:pStyle w:val="Textodstavce"/>
        <w:numPr>
          <w:ilvl w:val="0"/>
          <w:numId w:val="7"/>
        </w:numPr>
      </w:pPr>
      <w:r>
        <w:rPr>
          <w:i/>
          <w:iCs/>
        </w:rPr>
        <w:t>zadruhé</w:t>
      </w:r>
      <w:r>
        <w:t xml:space="preserve">, metodický pokyn vydaný Ministerstvem vnitra, dostupný </w:t>
      </w:r>
      <w:hyperlink r:id="rId12" w:history="1">
        <w:r>
          <w:rPr>
            <w:rStyle w:val="Hypertextovodkaz"/>
          </w:rPr>
          <w:t>zde</w:t>
        </w:r>
      </w:hyperlink>
      <w:r w:rsidR="00530EF8" w:rsidRPr="008F3FD0">
        <w:t>.</w:t>
      </w:r>
    </w:p>
    <w:p w14:paraId="5166DCD9" w14:textId="2A66A6DA" w:rsidR="008F3FD0" w:rsidRDefault="008F3FD0" w:rsidP="00530EF8">
      <w:pPr>
        <w:pStyle w:val="Textodstavce"/>
      </w:pPr>
      <w:r w:rsidRPr="008F3FD0">
        <w:t xml:space="preserve">Podle těchto metodik </w:t>
      </w:r>
      <w:r>
        <w:t>je proces úřední změny pohlaví v České republice složen z následujících tří fází (přičemž první dvě fáze jsou obligatorní a poslední je fakultativní).</w:t>
      </w:r>
    </w:p>
    <w:p w14:paraId="280EC25E" w14:textId="7CD74667" w:rsidR="008F3FD0" w:rsidRDefault="008F3FD0" w:rsidP="008F3FD0">
      <w:pPr>
        <w:pStyle w:val="Textodstavce"/>
        <w:numPr>
          <w:ilvl w:val="0"/>
          <w:numId w:val="7"/>
        </w:numPr>
      </w:pPr>
      <w:r w:rsidRPr="008F3FD0">
        <w:rPr>
          <w:b/>
          <w:bCs/>
          <w:i/>
          <w:iCs/>
        </w:rPr>
        <w:t>První fáze: zahájení péče v souvislosti se změnou pohlaví.</w:t>
      </w:r>
      <w:r>
        <w:t xml:space="preserve"> Trans osoba začne navštěvovat lékaře se specializací v oboru sexuologie. Lékař této osobě vydá oficiální dokument s názvem „potvrzení poskytovatele zdravotních služeb o zahájení </w:t>
      </w:r>
      <w:r w:rsidR="0033647B">
        <w:t>léčby</w:t>
      </w:r>
      <w:r>
        <w:t xml:space="preserve"> pro změnu pohlaví“. Na základě tohoto dokumentu může trans osoba požádat matriční úřad o změnu svého jména do neutrální formy. To nemá žádné právní důsledky pro úřední pohlaví dotčené osoby.</w:t>
      </w:r>
    </w:p>
    <w:p w14:paraId="4A1B0D42" w14:textId="3C6E32DD" w:rsidR="008F3FD0" w:rsidRDefault="008F3FD0" w:rsidP="008F3FD0">
      <w:pPr>
        <w:pStyle w:val="Textodstavce"/>
        <w:numPr>
          <w:ilvl w:val="0"/>
          <w:numId w:val="7"/>
        </w:numPr>
      </w:pPr>
      <w:r>
        <w:rPr>
          <w:b/>
          <w:bCs/>
          <w:i/>
          <w:iCs/>
        </w:rPr>
        <w:t>Druhá fáze:</w:t>
      </w:r>
      <w:r w:rsidR="004B5D17">
        <w:rPr>
          <w:b/>
          <w:bCs/>
          <w:i/>
          <w:iCs/>
        </w:rPr>
        <w:t xml:space="preserve"> potvrzení diagnózy genderové dysforie. </w:t>
      </w:r>
      <w:r w:rsidR="004B5D17">
        <w:t xml:space="preserve">Sexuolog vyšetří trans osobu, aby potvrdil diagnózu genderové dysforie. Doporučená délka této fáze je 6–12 měsíců a může zahrnovat další specializovaná vyšetření dané trans osoby, např. klinickým psychiatrem, psychologem nebo endokrinologem. Jakmile </w:t>
      </w:r>
      <w:r w:rsidR="00076817">
        <w:t>je diagnóza genderové dysforie potvrzena, sexuolog vydá oficiální dokument s názvem „</w:t>
      </w:r>
      <w:r w:rsidR="00076817">
        <w:t>potvrzení poskytovatele zdravotních služeb</w:t>
      </w:r>
      <w:r w:rsidR="00076817">
        <w:t xml:space="preserve"> o ukončení léčby pro změnu </w:t>
      </w:r>
      <w:r w:rsidR="00B772BE">
        <w:t>pohlaví“. Po předložení tohoto dokumentu provede matriční úřad dodatečný záznam o změně úředního pohlaví dané osoby. Jinými slovy, na základě nové právní úpravy je jedinou podmínkou úřední změny pohlaví získání oficiální medicínské diagnózy genderové dysforie.</w:t>
      </w:r>
    </w:p>
    <w:p w14:paraId="682C60FF" w14:textId="2E5CFDEA" w:rsidR="00B772BE" w:rsidRPr="008F3FD0" w:rsidRDefault="00B772BE" w:rsidP="008F3FD0">
      <w:pPr>
        <w:pStyle w:val="Textodstavce"/>
        <w:numPr>
          <w:ilvl w:val="0"/>
          <w:numId w:val="7"/>
        </w:numPr>
      </w:pPr>
      <w:r>
        <w:rPr>
          <w:b/>
          <w:bCs/>
          <w:i/>
          <w:iCs/>
        </w:rPr>
        <w:lastRenderedPageBreak/>
        <w:t xml:space="preserve">Třetí fáze: další zdravotní péče. </w:t>
      </w:r>
      <w:r>
        <w:t xml:space="preserve">Tato fáze může zahrnovat chirurgické zákroky, hormonální léčbu, hlasovou terapii, psychoterapii či psychologické poradenství, nebo jinou relevantní léčbu. Podle nové právní úpravy je tato fáze </w:t>
      </w:r>
      <w:r w:rsidRPr="00B772BE">
        <w:rPr>
          <w:b/>
          <w:bCs/>
        </w:rPr>
        <w:t>zcela fakultativní</w:t>
      </w:r>
      <w:r>
        <w:t>, tj. každý z těchto zákroků je proveden pouze v případě, že si to daná trans osoba přeje, a v rozsahu, v jakém si to přeje; tyto zákroky zároveň už nepředstavují podmínku úřední změny pohlaví v České republice.</w:t>
      </w:r>
    </w:p>
    <w:p w14:paraId="7B708014" w14:textId="23A9BE7B" w:rsidR="00B772BE" w:rsidRPr="00B772BE" w:rsidRDefault="00B772BE" w:rsidP="00FD35DB">
      <w:pPr>
        <w:pStyle w:val="Textodstavce"/>
      </w:pPr>
      <w:r w:rsidRPr="00B772BE">
        <w:t>V lednu 2026</w:t>
      </w:r>
      <w:r>
        <w:t xml:space="preserve"> Ministerstvo vnitra poskytlo následující data ohledně počtu případů úřední změny pohlaví, které byly provedeny matričními orgány v České republice:</w:t>
      </w:r>
    </w:p>
    <w:p w14:paraId="027C7A7C" w14:textId="3C0024EF" w:rsidR="00FD35DB" w:rsidRPr="00B772BE" w:rsidRDefault="00B772BE" w:rsidP="00FD35DB">
      <w:pPr>
        <w:pStyle w:val="Textodstavce"/>
        <w:numPr>
          <w:ilvl w:val="0"/>
          <w:numId w:val="7"/>
        </w:numPr>
      </w:pPr>
      <w:r w:rsidRPr="00B772BE">
        <w:t>rok</w:t>
      </w:r>
      <w:r w:rsidR="00FD35DB" w:rsidRPr="00B772BE">
        <w:t xml:space="preserve"> 2022: </w:t>
      </w:r>
      <w:r w:rsidR="00FD35DB" w:rsidRPr="00B772BE">
        <w:rPr>
          <w:b/>
          <w:bCs/>
        </w:rPr>
        <w:t>172</w:t>
      </w:r>
      <w:r w:rsidR="00FD35DB" w:rsidRPr="00B772BE">
        <w:t xml:space="preserve"> </w:t>
      </w:r>
      <w:r w:rsidRPr="00B772BE">
        <w:t>případů</w:t>
      </w:r>
    </w:p>
    <w:p w14:paraId="7C4CCC0F" w14:textId="47E08448" w:rsidR="00FD35DB" w:rsidRPr="00B772BE" w:rsidRDefault="00B772BE" w:rsidP="00FD35DB">
      <w:pPr>
        <w:pStyle w:val="Textodstavce"/>
        <w:numPr>
          <w:ilvl w:val="0"/>
          <w:numId w:val="7"/>
        </w:numPr>
      </w:pPr>
      <w:r w:rsidRPr="00B772BE">
        <w:t>rok</w:t>
      </w:r>
      <w:r w:rsidR="00FD35DB" w:rsidRPr="00B772BE">
        <w:t xml:space="preserve"> 2023: </w:t>
      </w:r>
      <w:r w:rsidR="00FD35DB" w:rsidRPr="00B772BE">
        <w:rPr>
          <w:b/>
          <w:bCs/>
        </w:rPr>
        <w:t>188</w:t>
      </w:r>
      <w:r w:rsidR="00FD35DB" w:rsidRPr="00B772BE">
        <w:t xml:space="preserve"> </w:t>
      </w:r>
      <w:r w:rsidRPr="00B772BE">
        <w:t>případů</w:t>
      </w:r>
    </w:p>
    <w:p w14:paraId="78178395" w14:textId="513CCC6D" w:rsidR="00FD35DB" w:rsidRPr="00B772BE" w:rsidRDefault="00B772BE" w:rsidP="00FD35DB">
      <w:pPr>
        <w:pStyle w:val="Textodstavce"/>
        <w:numPr>
          <w:ilvl w:val="0"/>
          <w:numId w:val="7"/>
        </w:numPr>
      </w:pPr>
      <w:r w:rsidRPr="00B772BE">
        <w:t>rok</w:t>
      </w:r>
      <w:r w:rsidR="00FD35DB" w:rsidRPr="00B772BE">
        <w:t xml:space="preserve"> 2024: </w:t>
      </w:r>
      <w:r w:rsidR="00FD35DB" w:rsidRPr="00B772BE">
        <w:rPr>
          <w:b/>
          <w:bCs/>
        </w:rPr>
        <w:t>164</w:t>
      </w:r>
      <w:r w:rsidR="00FD35DB" w:rsidRPr="00B772BE">
        <w:t xml:space="preserve"> </w:t>
      </w:r>
      <w:r w:rsidRPr="00B772BE">
        <w:t>případů</w:t>
      </w:r>
    </w:p>
    <w:p w14:paraId="671077D3" w14:textId="0AD111E1" w:rsidR="00FD35DB" w:rsidRPr="00B772BE" w:rsidRDefault="00B772BE" w:rsidP="00B772BE">
      <w:pPr>
        <w:pStyle w:val="Textodstavce"/>
        <w:numPr>
          <w:ilvl w:val="0"/>
          <w:numId w:val="7"/>
        </w:numPr>
      </w:pPr>
      <w:r w:rsidRPr="00B772BE">
        <w:t>rok</w:t>
      </w:r>
      <w:r w:rsidR="00FD35DB" w:rsidRPr="00B772BE">
        <w:t xml:space="preserve"> 2025: </w:t>
      </w:r>
      <w:r w:rsidRPr="00B772BE">
        <w:t xml:space="preserve">v období od 1. ledna do 30. června – </w:t>
      </w:r>
      <w:r w:rsidR="00FD35DB" w:rsidRPr="00B772BE">
        <w:rPr>
          <w:b/>
          <w:bCs/>
        </w:rPr>
        <w:t xml:space="preserve">90 </w:t>
      </w:r>
      <w:r w:rsidRPr="00B772BE">
        <w:t>případů</w:t>
      </w:r>
      <w:r w:rsidR="007A6E32" w:rsidRPr="00B772BE">
        <w:t xml:space="preserve">; </w:t>
      </w:r>
      <w:r w:rsidRPr="00B772BE">
        <w:t xml:space="preserve">v období od 1. července do 31. prosince – </w:t>
      </w:r>
      <w:r w:rsidR="00FD35DB" w:rsidRPr="00B772BE">
        <w:rPr>
          <w:b/>
          <w:bCs/>
        </w:rPr>
        <w:t>955</w:t>
      </w:r>
      <w:r w:rsidR="00FD35DB" w:rsidRPr="00B772BE">
        <w:t xml:space="preserve"> </w:t>
      </w:r>
      <w:r>
        <w:t>případů</w:t>
      </w:r>
      <w:r w:rsidR="00FD35DB" w:rsidRPr="00B772BE">
        <w:t xml:space="preserve"> </w:t>
      </w:r>
    </w:p>
    <w:p w14:paraId="2A9E9368" w14:textId="6DC36DB8" w:rsidR="00B772BE" w:rsidRDefault="00B772BE" w:rsidP="005F5E3B">
      <w:pPr>
        <w:pStyle w:val="Textodstavce"/>
      </w:pPr>
      <w:r w:rsidRPr="00B772BE">
        <w:t>S</w:t>
      </w:r>
      <w:r>
        <w:t xml:space="preserve">tatistiky Ministerstva vnitra nerozlišují mezi případy úřední změny pohlaví na základě lékařské diagnózy a případy po chirurgickém zákroku. </w:t>
      </w:r>
      <w:r w:rsidR="003662AF">
        <w:t xml:space="preserve">Jasně z nich však plyne, že došlo k velmi prudkému nárůstu případů úřední změny pohlaví </w:t>
      </w:r>
      <w:r w:rsidR="003662AF">
        <w:t>po 1. červenci 2025</w:t>
      </w:r>
      <w:r w:rsidR="003662AF">
        <w:t>, tj. poté, co vstoupila v účinnost nová právní úprava. Z toho lze vyvodit, že po uvedeném datu případy úřední změny pohlaví nezahrnují pouze trans osoby po chirurgickém zákroku, ale také – a hlavně – osoby, kterým byla vystavena diagnóza genderové dysforie, aniž by zároveň podstoupily chirurgickou operaci.</w:t>
      </w:r>
    </w:p>
    <w:p w14:paraId="43CA653F" w14:textId="699DA3FA" w:rsidR="003662AF" w:rsidRDefault="003662AF" w:rsidP="005F5E3B">
      <w:pPr>
        <w:pStyle w:val="Textodstavce"/>
      </w:pPr>
      <w:r>
        <w:t xml:space="preserve">Vláda se domnívá, že výše uvedená data prokazují, že nový systém úřední změny pohlaví, který spočívá vedle stručné zákonné úpravy na detailních metodických pokynech, a který podmiňuje tuto změnu pouze lékařskou diagnózou, je </w:t>
      </w:r>
      <w:r w:rsidRPr="003662AF">
        <w:rPr>
          <w:b/>
          <w:bCs/>
        </w:rPr>
        <w:t>účinný v praxi</w:t>
      </w:r>
      <w:r>
        <w:t>.</w:t>
      </w:r>
    </w:p>
    <w:p w14:paraId="6448B7F0" w14:textId="33F95ABC" w:rsidR="003662AF" w:rsidRPr="00B772BE" w:rsidRDefault="003662AF" w:rsidP="005F5E3B">
      <w:pPr>
        <w:pStyle w:val="Textodstavce"/>
      </w:pPr>
      <w:r>
        <w:t>Ve světle tohoto vývoje vnitrostátní judikatury a právní úpravy je vláda přesvědčena, že po 1. červenci 2025 už situace v České republice není v rozporu s požadavky plynoucími z rozsudku Soudu v nadepsané věci.</w:t>
      </w:r>
    </w:p>
    <w:p w14:paraId="2BCB7DFB" w14:textId="6072A363" w:rsidR="00AF3177" w:rsidRPr="00601505" w:rsidRDefault="00AF3177" w:rsidP="00242A3B">
      <w:pPr>
        <w:pStyle w:val="Nadpissti"/>
        <w:spacing w:before="360"/>
        <w:rPr>
          <w:lang w:val="en-GB"/>
        </w:rPr>
      </w:pPr>
      <w:r w:rsidRPr="00601505">
        <w:rPr>
          <w:lang w:val="en-GB"/>
        </w:rPr>
        <w:t xml:space="preserve">III. </w:t>
      </w:r>
      <w:r w:rsidR="008F3FD0">
        <w:rPr>
          <w:lang w:val="en-GB"/>
        </w:rPr>
        <w:t>ZÁVĚR</w:t>
      </w:r>
    </w:p>
    <w:p w14:paraId="6C361603" w14:textId="32195B5C" w:rsidR="008F3FD0" w:rsidRPr="00A31CDB" w:rsidRDefault="008F3FD0" w:rsidP="008F3FD0">
      <w:pPr>
        <w:pStyle w:val="Textodstavce"/>
      </w:pPr>
      <w:r>
        <w:rPr>
          <w:szCs w:val="24"/>
        </w:rPr>
        <w:t>Na základě uvedeného se v</w:t>
      </w:r>
      <w:r w:rsidRPr="00303CCF">
        <w:rPr>
          <w:szCs w:val="24"/>
        </w:rPr>
        <w:t xml:space="preserve">láda České republiky </w:t>
      </w:r>
      <w:r>
        <w:rPr>
          <w:szCs w:val="24"/>
        </w:rPr>
        <w:t>domnívá, že přijatá individuální a obecná opatření jsou dostatečná a navrhuje, aby Výbor ministrů uzavřel dohled nad výkonem výše uveden</w:t>
      </w:r>
      <w:r>
        <w:rPr>
          <w:szCs w:val="24"/>
        </w:rPr>
        <w:t>ého</w:t>
      </w:r>
      <w:r>
        <w:rPr>
          <w:szCs w:val="24"/>
        </w:rPr>
        <w:t xml:space="preserve"> rozsudk</w:t>
      </w:r>
      <w:r>
        <w:rPr>
          <w:szCs w:val="24"/>
        </w:rPr>
        <w:t>u</w:t>
      </w:r>
      <w:r>
        <w:rPr>
          <w:szCs w:val="24"/>
        </w:rPr>
        <w:t>.</w:t>
      </w:r>
    </w:p>
    <w:p w14:paraId="0EB260BE" w14:textId="77777777" w:rsidR="008F3FD0" w:rsidRPr="008F3FD0" w:rsidRDefault="008F3FD0" w:rsidP="00601505">
      <w:pPr>
        <w:pStyle w:val="Textodstavce"/>
      </w:pPr>
    </w:p>
    <w:sectPr w:rsidR="008F3FD0" w:rsidRPr="008F3FD0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7FB7" w14:textId="77777777" w:rsidR="002357C9" w:rsidRDefault="002357C9">
      <w:r>
        <w:separator/>
      </w:r>
    </w:p>
  </w:endnote>
  <w:endnote w:type="continuationSeparator" w:id="0">
    <w:p w14:paraId="1BF28F52" w14:textId="77777777" w:rsidR="002357C9" w:rsidRDefault="0023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3B3C" w14:textId="77777777" w:rsidR="002357C9" w:rsidRDefault="002357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A53F9" w14:textId="77777777" w:rsidR="002357C9" w:rsidRDefault="00235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FA66" w14:textId="7B805342" w:rsidR="002357C9" w:rsidRDefault="002357C9">
    <w:pPr>
      <w:pStyle w:val="Zpat"/>
      <w:jc w:val="center"/>
    </w:pPr>
    <w:r>
      <w:t xml:space="preserve">—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0760F">
      <w:rPr>
        <w:rStyle w:val="slostrnky"/>
        <w:noProof/>
      </w:rPr>
      <w:t>6</w:t>
    </w:r>
    <w:r>
      <w:rPr>
        <w:rStyle w:val="slostrnky"/>
      </w:rP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B09F" w14:textId="77777777" w:rsidR="002357C9" w:rsidRDefault="002357C9">
      <w:r>
        <w:separator/>
      </w:r>
    </w:p>
  </w:footnote>
  <w:footnote w:type="continuationSeparator" w:id="0">
    <w:p w14:paraId="46D882CB" w14:textId="77777777" w:rsidR="002357C9" w:rsidRDefault="002357C9">
      <w:r>
        <w:continuationSeparator/>
      </w:r>
    </w:p>
  </w:footnote>
  <w:footnote w:id="1">
    <w:p w14:paraId="0D5A0B89" w14:textId="6E698001" w:rsidR="002357C9" w:rsidRPr="00494C09" w:rsidRDefault="002357C9" w:rsidP="00E1497F">
      <w:pPr>
        <w:pStyle w:val="Textpoznpodarou"/>
        <w:spacing w:after="120"/>
        <w:jc w:val="both"/>
      </w:pPr>
      <w:r w:rsidRPr="00E1497F">
        <w:rPr>
          <w:rStyle w:val="Znakapoznpodarou"/>
          <w:lang w:val="en-GB"/>
        </w:rPr>
        <w:footnoteRef/>
      </w:r>
      <w:r w:rsidRPr="00E1497F">
        <w:rPr>
          <w:lang w:val="en-GB"/>
        </w:rPr>
        <w:t xml:space="preserve"> </w:t>
      </w:r>
      <w:r w:rsidR="00494C09" w:rsidRPr="00F572F8">
        <w:t>Podrobnosti o platbě jsou k dispozici na vyžádání v Kanceláři vládního zmocněn</w:t>
      </w:r>
      <w:r w:rsidR="00494C09">
        <w:t>c</w:t>
      </w:r>
      <w:r w:rsidR="00494C09" w:rsidRPr="00F572F8">
        <w:t>e.</w:t>
      </w:r>
    </w:p>
  </w:footnote>
  <w:footnote w:id="2">
    <w:p w14:paraId="39F02E84" w14:textId="5FDDA4D3" w:rsidR="002357C9" w:rsidRPr="00494C09" w:rsidRDefault="002357C9" w:rsidP="00E1497F">
      <w:pPr>
        <w:pStyle w:val="Default"/>
        <w:spacing w:after="120"/>
        <w:jc w:val="both"/>
        <w:rPr>
          <w:sz w:val="20"/>
          <w:szCs w:val="20"/>
        </w:rPr>
      </w:pPr>
      <w:r w:rsidRPr="00E1497F">
        <w:rPr>
          <w:rStyle w:val="Znakapoznpodarou"/>
          <w:sz w:val="20"/>
          <w:szCs w:val="20"/>
          <w:lang w:val="en-GB"/>
        </w:rPr>
        <w:footnoteRef/>
      </w:r>
      <w:r w:rsidRPr="00494C09">
        <w:rPr>
          <w:sz w:val="20"/>
          <w:szCs w:val="20"/>
        </w:rPr>
        <w:t xml:space="preserve"> </w:t>
      </w:r>
      <w:r w:rsidR="00494C09" w:rsidRPr="00F572F8">
        <w:rPr>
          <w:sz w:val="20"/>
          <w:szCs w:val="20"/>
        </w:rPr>
        <w:t xml:space="preserve">Ustanovení § 119 zákona o Ústavním soudu ve znění zákona č. 404/2012 Sb. </w:t>
      </w:r>
      <w:r w:rsidR="00494C09" w:rsidRPr="00F572F8">
        <w:rPr>
          <w:i/>
          <w:iCs/>
          <w:sz w:val="20"/>
          <w:szCs w:val="20"/>
        </w:rPr>
        <w:t>mimo jiné</w:t>
      </w:r>
      <w:r w:rsidR="00494C09" w:rsidRPr="00F572F8">
        <w:rPr>
          <w:sz w:val="20"/>
          <w:szCs w:val="20"/>
        </w:rPr>
        <w:t xml:space="preserve"> stanoví, že pokud Ústavní soud již dříve rozhodl ve věci, v níž mezinárodní soud shledal porušení lidských práv nebo základních svobod zaručených mezinárodní smlouvou, je možné podat návrh na obnovu řízení, v němž bylo</w:t>
      </w:r>
      <w:r w:rsidR="00494C09">
        <w:rPr>
          <w:sz w:val="20"/>
          <w:szCs w:val="20"/>
        </w:rPr>
        <w:t xml:space="preserve"> </w:t>
      </w:r>
      <w:r w:rsidR="00494C09" w:rsidRPr="00F572F8">
        <w:rPr>
          <w:sz w:val="20"/>
          <w:szCs w:val="20"/>
        </w:rPr>
        <w:t xml:space="preserve">rozhodnutí vydáno. Ustanovení § 119b </w:t>
      </w:r>
      <w:r w:rsidR="00494C09" w:rsidRPr="00F572F8">
        <w:rPr>
          <w:i/>
          <w:iCs/>
          <w:sz w:val="20"/>
          <w:szCs w:val="20"/>
        </w:rPr>
        <w:t>mimo jiné</w:t>
      </w:r>
      <w:r w:rsidR="00494C09" w:rsidRPr="00F572F8">
        <w:rPr>
          <w:sz w:val="20"/>
          <w:szCs w:val="20"/>
        </w:rPr>
        <w:t xml:space="preserve"> stanoví, že pokud byl předchozí rozsudek Ústavního soudu (</w:t>
      </w:r>
      <w:r w:rsidR="00494C09" w:rsidRPr="00F572F8">
        <w:rPr>
          <w:i/>
          <w:iCs/>
          <w:sz w:val="20"/>
          <w:szCs w:val="20"/>
        </w:rPr>
        <w:t>nález</w:t>
      </w:r>
      <w:r w:rsidR="00494C09" w:rsidRPr="00F572F8">
        <w:rPr>
          <w:sz w:val="20"/>
          <w:szCs w:val="20"/>
        </w:rPr>
        <w:t xml:space="preserve">) v rozporu s rozhodnutím přijatým mezinárodním soudem, musí </w:t>
      </w:r>
      <w:r w:rsidR="00494C09">
        <w:rPr>
          <w:sz w:val="20"/>
          <w:szCs w:val="20"/>
        </w:rPr>
        <w:t>být zrušen</w:t>
      </w:r>
      <w:r w:rsidR="00494C09" w:rsidRPr="00F572F8">
        <w:rPr>
          <w:sz w:val="20"/>
          <w:szCs w:val="20"/>
        </w:rPr>
        <w:t>. Zruší-li Ústavní soud svůj nález, zabývá se znovu původní ústavní stížností a nový nález by měl vycházet z právního názoru mezinárodního soudu.</w:t>
      </w:r>
      <w:r w:rsidR="00494C09">
        <w:rPr>
          <w:sz w:val="20"/>
          <w:szCs w:val="20"/>
        </w:rPr>
        <w:t xml:space="preserve"> </w:t>
      </w:r>
    </w:p>
  </w:footnote>
  <w:footnote w:id="3">
    <w:p w14:paraId="286FDE6A" w14:textId="77777777" w:rsidR="00CA7F40" w:rsidRPr="006D3E0B" w:rsidRDefault="00CA7F40" w:rsidP="00CA7F40">
      <w:pPr>
        <w:pStyle w:val="Textpoznpodarou"/>
        <w:spacing w:after="120"/>
        <w:jc w:val="both"/>
      </w:pPr>
      <w:r w:rsidRPr="00F572F8">
        <w:rPr>
          <w:rStyle w:val="Znakapoznpodarou"/>
        </w:rPr>
        <w:footnoteRef/>
      </w:r>
      <w:r w:rsidRPr="00F572F8">
        <w:t xml:space="preserve"> V červnu 2024 ministerstvo spravedlnosti oficiálně spustilo nové webové stránky </w:t>
      </w:r>
      <w:hyperlink r:id="rId1" w:history="1">
        <w:r w:rsidRPr="00F572F8">
          <w:rPr>
            <w:rStyle w:val="Hypertextovodkaz"/>
          </w:rPr>
          <w:t xml:space="preserve">(https://mezisoudy.cz/) </w:t>
        </w:r>
      </w:hyperlink>
      <w:r w:rsidRPr="00F572F8">
        <w:t xml:space="preserve">věnované mezinárodní ochraně lidských práv. Webové stránky provozuje </w:t>
      </w:r>
      <w:r>
        <w:t>Kancelář</w:t>
      </w:r>
      <w:r w:rsidRPr="00F572F8">
        <w:t xml:space="preserve"> vládního zmocněnce. Jej</w:t>
      </w:r>
      <w:r>
        <w:t>ich</w:t>
      </w:r>
      <w:r w:rsidRPr="00F572F8">
        <w:t xml:space="preserve"> součástí je databáze, která umožňuje přístup k judikatuře Soud</w:t>
      </w:r>
      <w:r>
        <w:t>u</w:t>
      </w:r>
      <w:r w:rsidRPr="00F572F8">
        <w:t xml:space="preserve">. Databáze obsahuje všechny rozsudky Soudu v </w:t>
      </w:r>
      <w:r w:rsidRPr="006D3E0B">
        <w:t>jazyce, v němž je Soud vydal. Nad to databáze obsahuje překlady všech rozsudků Soudu proti České republice, stovky překladů nejdůležitějších rozsudků Soudu vydaných proti jiným státům a více než 1 700 právních shrnutí dalších relevantních a významných rozsudků a rozhodnutí Soudu</w:t>
      </w:r>
      <w:r>
        <w:t xml:space="preserve"> </w:t>
      </w:r>
      <w:r w:rsidRPr="006D3E0B">
        <w:t>se</w:t>
      </w:r>
      <w:r>
        <w:t>psaných</w:t>
      </w:r>
      <w:r w:rsidRPr="006D3E0B">
        <w:t xml:space="preserve"> v českém jazyce. Databáze rovněž propojuje judikaturu Soudu s judikaturou Ústavního soudu ČR a judikaturou Evropského výboru pro sociální práva a smluvních orgánů OSN.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22D9"/>
    <w:multiLevelType w:val="hybridMultilevel"/>
    <w:tmpl w:val="496C29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8A72EE"/>
    <w:multiLevelType w:val="hybridMultilevel"/>
    <w:tmpl w:val="AF780C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733FED"/>
    <w:multiLevelType w:val="hybridMultilevel"/>
    <w:tmpl w:val="468A7712"/>
    <w:lvl w:ilvl="0" w:tplc="781E91A0">
      <w:start w:val="1"/>
      <w:numFmt w:val="decimal"/>
      <w:pStyle w:val="Stanovisko-text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i w:val="0"/>
      </w:rPr>
    </w:lvl>
    <w:lvl w:ilvl="1" w:tplc="16F2CA2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000D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65B2D"/>
    <w:multiLevelType w:val="hybridMultilevel"/>
    <w:tmpl w:val="4B0EC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0409"/>
    <w:multiLevelType w:val="hybridMultilevel"/>
    <w:tmpl w:val="E63E83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16338F"/>
    <w:multiLevelType w:val="hybridMultilevel"/>
    <w:tmpl w:val="A3186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E2102"/>
    <w:multiLevelType w:val="hybridMultilevel"/>
    <w:tmpl w:val="832CB8CE"/>
    <w:lvl w:ilvl="0" w:tplc="226E496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7768816">
    <w:abstractNumId w:val="1"/>
  </w:num>
  <w:num w:numId="2" w16cid:durableId="1588416221">
    <w:abstractNumId w:val="3"/>
  </w:num>
  <w:num w:numId="3" w16cid:durableId="1510605318">
    <w:abstractNumId w:val="5"/>
  </w:num>
  <w:num w:numId="4" w16cid:durableId="1116944326">
    <w:abstractNumId w:val="4"/>
  </w:num>
  <w:num w:numId="5" w16cid:durableId="101731177">
    <w:abstractNumId w:val="2"/>
  </w:num>
  <w:num w:numId="6" w16cid:durableId="602690572">
    <w:abstractNumId w:val="0"/>
  </w:num>
  <w:num w:numId="7" w16cid:durableId="137503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E3"/>
    <w:rsid w:val="0000296A"/>
    <w:rsid w:val="00003B18"/>
    <w:rsid w:val="00033AB8"/>
    <w:rsid w:val="00034F60"/>
    <w:rsid w:val="00035B28"/>
    <w:rsid w:val="00040011"/>
    <w:rsid w:val="0004395D"/>
    <w:rsid w:val="00045D70"/>
    <w:rsid w:val="00045F7A"/>
    <w:rsid w:val="0004701D"/>
    <w:rsid w:val="0007253E"/>
    <w:rsid w:val="00076817"/>
    <w:rsid w:val="000805F7"/>
    <w:rsid w:val="000811F5"/>
    <w:rsid w:val="00083A29"/>
    <w:rsid w:val="00084BF3"/>
    <w:rsid w:val="000910F0"/>
    <w:rsid w:val="000928E3"/>
    <w:rsid w:val="000B04F0"/>
    <w:rsid w:val="000B3112"/>
    <w:rsid w:val="000C5F0A"/>
    <w:rsid w:val="000D5CDD"/>
    <w:rsid w:val="000F1210"/>
    <w:rsid w:val="000F1648"/>
    <w:rsid w:val="000F50A5"/>
    <w:rsid w:val="000F5680"/>
    <w:rsid w:val="00113380"/>
    <w:rsid w:val="001144CE"/>
    <w:rsid w:val="0012274F"/>
    <w:rsid w:val="001430D5"/>
    <w:rsid w:val="00155D59"/>
    <w:rsid w:val="00157FA4"/>
    <w:rsid w:val="00163FCE"/>
    <w:rsid w:val="00186617"/>
    <w:rsid w:val="00190D85"/>
    <w:rsid w:val="00193392"/>
    <w:rsid w:val="00195B9F"/>
    <w:rsid w:val="00197CFB"/>
    <w:rsid w:val="001A1361"/>
    <w:rsid w:val="001B170F"/>
    <w:rsid w:val="001B4DF5"/>
    <w:rsid w:val="001C0FDB"/>
    <w:rsid w:val="001C1FE2"/>
    <w:rsid w:val="001C508D"/>
    <w:rsid w:val="001C7743"/>
    <w:rsid w:val="001D0D29"/>
    <w:rsid w:val="001D0EC9"/>
    <w:rsid w:val="001E3B78"/>
    <w:rsid w:val="001F2A97"/>
    <w:rsid w:val="001F60B3"/>
    <w:rsid w:val="0020559D"/>
    <w:rsid w:val="002110D3"/>
    <w:rsid w:val="00215066"/>
    <w:rsid w:val="00221F58"/>
    <w:rsid w:val="00230C6A"/>
    <w:rsid w:val="002357A6"/>
    <w:rsid w:val="002357C9"/>
    <w:rsid w:val="00242A3B"/>
    <w:rsid w:val="00247902"/>
    <w:rsid w:val="00255597"/>
    <w:rsid w:val="002603EC"/>
    <w:rsid w:val="00260BFF"/>
    <w:rsid w:val="0026288C"/>
    <w:rsid w:val="00287B11"/>
    <w:rsid w:val="00297CAE"/>
    <w:rsid w:val="002A58CD"/>
    <w:rsid w:val="002B2115"/>
    <w:rsid w:val="002B6F8A"/>
    <w:rsid w:val="002C04DD"/>
    <w:rsid w:val="002C1F01"/>
    <w:rsid w:val="002C74F9"/>
    <w:rsid w:val="002D0658"/>
    <w:rsid w:val="002D0DB7"/>
    <w:rsid w:val="002E5D5E"/>
    <w:rsid w:val="002E7876"/>
    <w:rsid w:val="0030061A"/>
    <w:rsid w:val="00300776"/>
    <w:rsid w:val="00314118"/>
    <w:rsid w:val="0033647B"/>
    <w:rsid w:val="003435D7"/>
    <w:rsid w:val="003534BB"/>
    <w:rsid w:val="0035744C"/>
    <w:rsid w:val="003662AF"/>
    <w:rsid w:val="00372925"/>
    <w:rsid w:val="003741C0"/>
    <w:rsid w:val="003871CD"/>
    <w:rsid w:val="00387EDB"/>
    <w:rsid w:val="00390030"/>
    <w:rsid w:val="00391F45"/>
    <w:rsid w:val="003949AF"/>
    <w:rsid w:val="003A4747"/>
    <w:rsid w:val="003B5EAF"/>
    <w:rsid w:val="004048CE"/>
    <w:rsid w:val="00413054"/>
    <w:rsid w:val="0041431E"/>
    <w:rsid w:val="00414602"/>
    <w:rsid w:val="00415FB3"/>
    <w:rsid w:val="00421A33"/>
    <w:rsid w:val="00425D66"/>
    <w:rsid w:val="00432962"/>
    <w:rsid w:val="004341DF"/>
    <w:rsid w:val="00444968"/>
    <w:rsid w:val="00446244"/>
    <w:rsid w:val="004554F1"/>
    <w:rsid w:val="004578AF"/>
    <w:rsid w:val="004600EC"/>
    <w:rsid w:val="00463B41"/>
    <w:rsid w:val="00466B55"/>
    <w:rsid w:val="00471F96"/>
    <w:rsid w:val="00494C09"/>
    <w:rsid w:val="00495F5C"/>
    <w:rsid w:val="004A1AA8"/>
    <w:rsid w:val="004B5D17"/>
    <w:rsid w:val="004B792B"/>
    <w:rsid w:val="004C37DC"/>
    <w:rsid w:val="004C604A"/>
    <w:rsid w:val="004D11B5"/>
    <w:rsid w:val="004E709C"/>
    <w:rsid w:val="004F52D1"/>
    <w:rsid w:val="004F5B2B"/>
    <w:rsid w:val="004F733A"/>
    <w:rsid w:val="00501EFF"/>
    <w:rsid w:val="00510021"/>
    <w:rsid w:val="00510838"/>
    <w:rsid w:val="00513080"/>
    <w:rsid w:val="00517033"/>
    <w:rsid w:val="00524D8D"/>
    <w:rsid w:val="00530EF8"/>
    <w:rsid w:val="005318E8"/>
    <w:rsid w:val="00554054"/>
    <w:rsid w:val="00554EAD"/>
    <w:rsid w:val="005554ED"/>
    <w:rsid w:val="0055696B"/>
    <w:rsid w:val="00560F12"/>
    <w:rsid w:val="00571000"/>
    <w:rsid w:val="005768EA"/>
    <w:rsid w:val="00577509"/>
    <w:rsid w:val="00593E3E"/>
    <w:rsid w:val="005974D7"/>
    <w:rsid w:val="005A33D0"/>
    <w:rsid w:val="005A5372"/>
    <w:rsid w:val="005A5D82"/>
    <w:rsid w:val="005B4CA1"/>
    <w:rsid w:val="005C7BE1"/>
    <w:rsid w:val="005D5FBF"/>
    <w:rsid w:val="005E2BD4"/>
    <w:rsid w:val="005F0FB6"/>
    <w:rsid w:val="005F4EDC"/>
    <w:rsid w:val="005F5E3B"/>
    <w:rsid w:val="00601505"/>
    <w:rsid w:val="006036F8"/>
    <w:rsid w:val="0061023B"/>
    <w:rsid w:val="0062057A"/>
    <w:rsid w:val="00625985"/>
    <w:rsid w:val="00634A4E"/>
    <w:rsid w:val="00637052"/>
    <w:rsid w:val="006374E7"/>
    <w:rsid w:val="006413AA"/>
    <w:rsid w:val="006432AD"/>
    <w:rsid w:val="00655F6A"/>
    <w:rsid w:val="006628F3"/>
    <w:rsid w:val="006654DA"/>
    <w:rsid w:val="00665FB0"/>
    <w:rsid w:val="00674CE5"/>
    <w:rsid w:val="00676EAB"/>
    <w:rsid w:val="006A1DD1"/>
    <w:rsid w:val="006A2BA3"/>
    <w:rsid w:val="006B5683"/>
    <w:rsid w:val="006B5A6F"/>
    <w:rsid w:val="006C45F0"/>
    <w:rsid w:val="006D0C61"/>
    <w:rsid w:val="006D6A07"/>
    <w:rsid w:val="006E0DE6"/>
    <w:rsid w:val="006F1E64"/>
    <w:rsid w:val="006F512E"/>
    <w:rsid w:val="0070589C"/>
    <w:rsid w:val="007241D5"/>
    <w:rsid w:val="007301AC"/>
    <w:rsid w:val="00735E7A"/>
    <w:rsid w:val="00741808"/>
    <w:rsid w:val="0074706E"/>
    <w:rsid w:val="0075470E"/>
    <w:rsid w:val="00764619"/>
    <w:rsid w:val="00780E5A"/>
    <w:rsid w:val="007866EF"/>
    <w:rsid w:val="00791CD3"/>
    <w:rsid w:val="007946A3"/>
    <w:rsid w:val="007A5FB6"/>
    <w:rsid w:val="007A6E32"/>
    <w:rsid w:val="007B2C21"/>
    <w:rsid w:val="007B3BBB"/>
    <w:rsid w:val="007B7221"/>
    <w:rsid w:val="007C407D"/>
    <w:rsid w:val="007C7262"/>
    <w:rsid w:val="007D61F4"/>
    <w:rsid w:val="007D749C"/>
    <w:rsid w:val="007D7ABB"/>
    <w:rsid w:val="007E79E1"/>
    <w:rsid w:val="007F1AB7"/>
    <w:rsid w:val="00800F9C"/>
    <w:rsid w:val="0080464E"/>
    <w:rsid w:val="00811C94"/>
    <w:rsid w:val="00823F3E"/>
    <w:rsid w:val="008529D7"/>
    <w:rsid w:val="008566F0"/>
    <w:rsid w:val="008620B2"/>
    <w:rsid w:val="0086675F"/>
    <w:rsid w:val="008671BA"/>
    <w:rsid w:val="008727D0"/>
    <w:rsid w:val="00883446"/>
    <w:rsid w:val="00885A90"/>
    <w:rsid w:val="00894CCD"/>
    <w:rsid w:val="008A5B99"/>
    <w:rsid w:val="008A5E5E"/>
    <w:rsid w:val="008A7B99"/>
    <w:rsid w:val="008D1B45"/>
    <w:rsid w:val="008F3FD0"/>
    <w:rsid w:val="008F6B38"/>
    <w:rsid w:val="00902F00"/>
    <w:rsid w:val="00921EEC"/>
    <w:rsid w:val="009244EB"/>
    <w:rsid w:val="0092593D"/>
    <w:rsid w:val="00926868"/>
    <w:rsid w:val="009306DA"/>
    <w:rsid w:val="0093788D"/>
    <w:rsid w:val="00963D0E"/>
    <w:rsid w:val="00967986"/>
    <w:rsid w:val="009841E3"/>
    <w:rsid w:val="00991798"/>
    <w:rsid w:val="00994C75"/>
    <w:rsid w:val="0099601E"/>
    <w:rsid w:val="009A006B"/>
    <w:rsid w:val="009A22A0"/>
    <w:rsid w:val="009A498D"/>
    <w:rsid w:val="009B44A0"/>
    <w:rsid w:val="009B565C"/>
    <w:rsid w:val="009C20C7"/>
    <w:rsid w:val="009C3CA9"/>
    <w:rsid w:val="009C6622"/>
    <w:rsid w:val="009D1711"/>
    <w:rsid w:val="009E07FE"/>
    <w:rsid w:val="00A05109"/>
    <w:rsid w:val="00A10695"/>
    <w:rsid w:val="00A15A22"/>
    <w:rsid w:val="00A25988"/>
    <w:rsid w:val="00A30046"/>
    <w:rsid w:val="00A347F9"/>
    <w:rsid w:val="00A362D9"/>
    <w:rsid w:val="00A378FC"/>
    <w:rsid w:val="00A57910"/>
    <w:rsid w:val="00A57CA5"/>
    <w:rsid w:val="00A74702"/>
    <w:rsid w:val="00AB06F6"/>
    <w:rsid w:val="00AB1570"/>
    <w:rsid w:val="00AB2F7F"/>
    <w:rsid w:val="00AB317E"/>
    <w:rsid w:val="00AC3A5E"/>
    <w:rsid w:val="00AC6FF4"/>
    <w:rsid w:val="00AE7A58"/>
    <w:rsid w:val="00AF2579"/>
    <w:rsid w:val="00AF3177"/>
    <w:rsid w:val="00AF49BE"/>
    <w:rsid w:val="00AF70E9"/>
    <w:rsid w:val="00B02189"/>
    <w:rsid w:val="00B068C6"/>
    <w:rsid w:val="00B10A5C"/>
    <w:rsid w:val="00B113E3"/>
    <w:rsid w:val="00B14E86"/>
    <w:rsid w:val="00B15810"/>
    <w:rsid w:val="00B178F5"/>
    <w:rsid w:val="00B316B0"/>
    <w:rsid w:val="00B3590A"/>
    <w:rsid w:val="00B44811"/>
    <w:rsid w:val="00B52258"/>
    <w:rsid w:val="00B57F1A"/>
    <w:rsid w:val="00B60BAA"/>
    <w:rsid w:val="00B613BF"/>
    <w:rsid w:val="00B613EC"/>
    <w:rsid w:val="00B62594"/>
    <w:rsid w:val="00B64B82"/>
    <w:rsid w:val="00B772BE"/>
    <w:rsid w:val="00B80AB8"/>
    <w:rsid w:val="00BA200A"/>
    <w:rsid w:val="00BA6947"/>
    <w:rsid w:val="00BB26F4"/>
    <w:rsid w:val="00BD2032"/>
    <w:rsid w:val="00BD6185"/>
    <w:rsid w:val="00BE20E0"/>
    <w:rsid w:val="00BE34B2"/>
    <w:rsid w:val="00BE6094"/>
    <w:rsid w:val="00BF0180"/>
    <w:rsid w:val="00BF31BA"/>
    <w:rsid w:val="00C001AF"/>
    <w:rsid w:val="00C0063E"/>
    <w:rsid w:val="00C0779A"/>
    <w:rsid w:val="00C145DE"/>
    <w:rsid w:val="00C24AB0"/>
    <w:rsid w:val="00C256E7"/>
    <w:rsid w:val="00C44853"/>
    <w:rsid w:val="00C50BBA"/>
    <w:rsid w:val="00C51F93"/>
    <w:rsid w:val="00C638F6"/>
    <w:rsid w:val="00C64448"/>
    <w:rsid w:val="00C73CFE"/>
    <w:rsid w:val="00C75B1B"/>
    <w:rsid w:val="00CA71CC"/>
    <w:rsid w:val="00CA7F40"/>
    <w:rsid w:val="00CB4538"/>
    <w:rsid w:val="00CB574D"/>
    <w:rsid w:val="00CC7591"/>
    <w:rsid w:val="00CE292B"/>
    <w:rsid w:val="00CE3EFB"/>
    <w:rsid w:val="00D151AD"/>
    <w:rsid w:val="00D1593B"/>
    <w:rsid w:val="00D2504B"/>
    <w:rsid w:val="00D270FA"/>
    <w:rsid w:val="00D379AD"/>
    <w:rsid w:val="00D37E0E"/>
    <w:rsid w:val="00D43B8F"/>
    <w:rsid w:val="00D47069"/>
    <w:rsid w:val="00D56164"/>
    <w:rsid w:val="00D65489"/>
    <w:rsid w:val="00D71FEB"/>
    <w:rsid w:val="00D77E4F"/>
    <w:rsid w:val="00D9401A"/>
    <w:rsid w:val="00D945BD"/>
    <w:rsid w:val="00D96C82"/>
    <w:rsid w:val="00DA034F"/>
    <w:rsid w:val="00DA2078"/>
    <w:rsid w:val="00DA4D5A"/>
    <w:rsid w:val="00DC77D1"/>
    <w:rsid w:val="00DD26ED"/>
    <w:rsid w:val="00DE19E2"/>
    <w:rsid w:val="00DF1156"/>
    <w:rsid w:val="00E02F59"/>
    <w:rsid w:val="00E03D56"/>
    <w:rsid w:val="00E0449F"/>
    <w:rsid w:val="00E0710B"/>
    <w:rsid w:val="00E1497F"/>
    <w:rsid w:val="00E15047"/>
    <w:rsid w:val="00E155E3"/>
    <w:rsid w:val="00E16820"/>
    <w:rsid w:val="00E30530"/>
    <w:rsid w:val="00E33E4D"/>
    <w:rsid w:val="00E358F0"/>
    <w:rsid w:val="00E36292"/>
    <w:rsid w:val="00E467ED"/>
    <w:rsid w:val="00E50319"/>
    <w:rsid w:val="00E5162D"/>
    <w:rsid w:val="00E61812"/>
    <w:rsid w:val="00E63506"/>
    <w:rsid w:val="00E80987"/>
    <w:rsid w:val="00E80A5D"/>
    <w:rsid w:val="00E81945"/>
    <w:rsid w:val="00E97A38"/>
    <w:rsid w:val="00EA10D8"/>
    <w:rsid w:val="00EA624D"/>
    <w:rsid w:val="00EB0109"/>
    <w:rsid w:val="00EB1840"/>
    <w:rsid w:val="00EB3BD0"/>
    <w:rsid w:val="00EB658F"/>
    <w:rsid w:val="00EB7DA0"/>
    <w:rsid w:val="00ED15F7"/>
    <w:rsid w:val="00ED20A2"/>
    <w:rsid w:val="00EE465F"/>
    <w:rsid w:val="00EE5312"/>
    <w:rsid w:val="00EE740F"/>
    <w:rsid w:val="00EE7615"/>
    <w:rsid w:val="00F005F8"/>
    <w:rsid w:val="00F0255C"/>
    <w:rsid w:val="00F0760F"/>
    <w:rsid w:val="00F1016B"/>
    <w:rsid w:val="00F21F21"/>
    <w:rsid w:val="00F26BB2"/>
    <w:rsid w:val="00F26CB5"/>
    <w:rsid w:val="00F37BBC"/>
    <w:rsid w:val="00F45416"/>
    <w:rsid w:val="00F51C17"/>
    <w:rsid w:val="00F6676C"/>
    <w:rsid w:val="00F76583"/>
    <w:rsid w:val="00F80F7B"/>
    <w:rsid w:val="00FA116F"/>
    <w:rsid w:val="00FA478A"/>
    <w:rsid w:val="00FA5CFC"/>
    <w:rsid w:val="00FB61B2"/>
    <w:rsid w:val="00FB740D"/>
    <w:rsid w:val="00FC71D9"/>
    <w:rsid w:val="00FC7384"/>
    <w:rsid w:val="00FD052E"/>
    <w:rsid w:val="00FD35DB"/>
    <w:rsid w:val="00FD6FE3"/>
    <w:rsid w:val="00FE6256"/>
    <w:rsid w:val="00FE7B91"/>
    <w:rsid w:val="00FF4B29"/>
    <w:rsid w:val="00FF722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FEAC9"/>
  <w15:chartTrackingRefBased/>
  <w15:docId w15:val="{B2879A5A-570C-4DA8-AC3D-5E54BB3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i/>
      <w:i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pPr>
      <w:ind w:left="566" w:hanging="283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ind w:firstLine="708"/>
      <w:jc w:val="both"/>
    </w:pPr>
    <w:rPr>
      <w:sz w:val="24"/>
    </w:rPr>
  </w:style>
  <w:style w:type="paragraph" w:customStyle="1" w:styleId="Zkladntext22">
    <w:name w:val="Základní text 22"/>
    <w:basedOn w:val="Normln"/>
    <w:pPr>
      <w:ind w:left="397"/>
      <w:jc w:val="both"/>
    </w:pPr>
    <w:rPr>
      <w:sz w:val="24"/>
      <w:lang w:val="en-GB"/>
    </w:rPr>
  </w:style>
  <w:style w:type="paragraph" w:styleId="Zkladntext">
    <w:name w:val="Body Text"/>
    <w:basedOn w:val="Normln"/>
    <w:semiHidden/>
    <w:rPr>
      <w:sz w:val="24"/>
    </w:rPr>
  </w:style>
  <w:style w:type="paragraph" w:customStyle="1" w:styleId="Zkladntext23">
    <w:name w:val="Základní text 23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jc w:val="both"/>
    </w:pPr>
    <w:rPr>
      <w:i/>
      <w:sz w:val="24"/>
    </w:rPr>
  </w:style>
  <w:style w:type="paragraph" w:customStyle="1" w:styleId="Zkladntext24">
    <w:name w:val="Základní text 24"/>
    <w:basedOn w:val="Normln"/>
    <w:pPr>
      <w:ind w:left="142" w:firstLine="567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customStyle="1" w:styleId="Zkladntext25">
    <w:name w:val="Základní text 25"/>
    <w:basedOn w:val="Normln"/>
    <w:pPr>
      <w:tabs>
        <w:tab w:val="left" w:pos="426"/>
      </w:tabs>
      <w:ind w:left="284" w:hanging="284"/>
      <w:jc w:val="both"/>
    </w:pPr>
    <w:rPr>
      <w:sz w:val="24"/>
    </w:rPr>
  </w:style>
  <w:style w:type="paragraph" w:customStyle="1" w:styleId="Zkladntext26">
    <w:name w:val="Základní text 26"/>
    <w:basedOn w:val="Normln"/>
    <w:pPr>
      <w:jc w:val="both"/>
    </w:pPr>
    <w:rPr>
      <w:sz w:val="24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hlavn">
    <w:name w:val="Nadpis hlavní"/>
    <w:basedOn w:val="Normln"/>
    <w:rsid w:val="000F1648"/>
    <w:pPr>
      <w:pBdr>
        <w:top w:val="single" w:sz="12" w:space="4" w:color="auto" w:shadow="1"/>
        <w:left w:val="single" w:sz="12" w:space="4" w:color="auto" w:shadow="1"/>
        <w:bottom w:val="single" w:sz="12" w:space="4" w:color="auto" w:shadow="1"/>
        <w:right w:val="single" w:sz="12" w:space="4" w:color="auto" w:shadow="1"/>
      </w:pBdr>
      <w:jc w:val="center"/>
    </w:pPr>
    <w:rPr>
      <w:b/>
      <w:sz w:val="25"/>
    </w:rPr>
  </w:style>
  <w:style w:type="paragraph" w:customStyle="1" w:styleId="Textodstavce">
    <w:name w:val="Text odstavce"/>
    <w:basedOn w:val="Normln"/>
    <w:link w:val="TextodstavceChar"/>
    <w:pPr>
      <w:spacing w:before="120"/>
      <w:ind w:firstLine="709"/>
      <w:jc w:val="both"/>
    </w:pPr>
    <w:rPr>
      <w:sz w:val="24"/>
    </w:rPr>
  </w:style>
  <w:style w:type="paragraph" w:customStyle="1" w:styleId="Nadpissti">
    <w:name w:val="Nadpis části"/>
    <w:basedOn w:val="Textodstavce"/>
    <w:pPr>
      <w:keepNext/>
      <w:keepLines/>
      <w:spacing w:before="640"/>
      <w:ind w:firstLine="0"/>
      <w:jc w:val="center"/>
    </w:pPr>
    <w:rPr>
      <w:b/>
      <w:caps/>
    </w:rPr>
  </w:style>
  <w:style w:type="paragraph" w:customStyle="1" w:styleId="Textpsmena">
    <w:name w:val="Text písmena"/>
    <w:basedOn w:val="Textodstavce"/>
    <w:pPr>
      <w:tabs>
        <w:tab w:val="left" w:pos="284"/>
        <w:tab w:val="left" w:pos="1068"/>
      </w:tabs>
      <w:ind w:left="284" w:hanging="284"/>
    </w:pPr>
  </w:style>
  <w:style w:type="paragraph" w:customStyle="1" w:styleId="Nadpispodsti">
    <w:name w:val="Nadpis podčásti"/>
    <w:basedOn w:val="Nadpissti"/>
    <w:rPr>
      <w:b w:val="0"/>
      <w:bCs/>
      <w:smallCaps/>
      <w:u w:val="single"/>
    </w:rPr>
  </w:style>
  <w:style w:type="paragraph" w:customStyle="1" w:styleId="Rubrika">
    <w:name w:val="Rubrika"/>
    <w:basedOn w:val="Normln"/>
    <w:pPr>
      <w:keepNext/>
      <w:spacing w:before="120"/>
      <w:ind w:firstLine="709"/>
      <w:jc w:val="both"/>
    </w:pPr>
    <w:rPr>
      <w:b/>
      <w:bCs/>
      <w:i/>
      <w:sz w:val="24"/>
      <w:u w:val="dash"/>
    </w:rPr>
  </w:style>
  <w:style w:type="paragraph" w:customStyle="1" w:styleId="Nadpisoddlu">
    <w:name w:val="Nadpis oddílu"/>
    <w:basedOn w:val="Textodstavce"/>
    <w:link w:val="NadpisoddluChar"/>
    <w:pPr>
      <w:keepNext/>
      <w:spacing w:before="400"/>
      <w:ind w:firstLine="0"/>
      <w:jc w:val="center"/>
    </w:pPr>
    <w:rPr>
      <w:i/>
      <w:smallCaps/>
    </w:rPr>
  </w:style>
  <w:style w:type="paragraph" w:customStyle="1" w:styleId="Nadpispododdlu">
    <w:name w:val="Nadpis pododdílu"/>
    <w:basedOn w:val="Nadpisoddlu"/>
    <w:pPr>
      <w:spacing w:before="320"/>
    </w:pPr>
    <w:rPr>
      <w:smallCaps w:val="0"/>
    </w:rPr>
  </w:style>
  <w:style w:type="paragraph" w:customStyle="1" w:styleId="Nadpisvtextu">
    <w:name w:val="Nadpis v textu"/>
    <w:basedOn w:val="Nadpispododdlu"/>
    <w:rPr>
      <w:i w:val="0"/>
      <w:u w:val="dotDotDash"/>
    </w:rPr>
  </w:style>
  <w:style w:type="character" w:customStyle="1" w:styleId="Siln1">
    <w:name w:val="Silné1"/>
    <w:rPr>
      <w:b/>
    </w:rPr>
  </w:style>
  <w:style w:type="character" w:customStyle="1" w:styleId="normal--char">
    <w:name w:val="normal--char"/>
    <w:rsid w:val="00AF3177"/>
  </w:style>
  <w:style w:type="paragraph" w:customStyle="1" w:styleId="Hvzdiky">
    <w:name w:val="Hvězdičky"/>
    <w:basedOn w:val="Normln"/>
    <w:pPr>
      <w:spacing w:before="320" w:after="160"/>
      <w:jc w:val="center"/>
    </w:pPr>
  </w:style>
  <w:style w:type="character" w:customStyle="1" w:styleId="TextodstavceChar">
    <w:name w:val="Text odstavce Char"/>
    <w:link w:val="Textodstavce"/>
    <w:rsid w:val="00625985"/>
    <w:rPr>
      <w:sz w:val="24"/>
    </w:rPr>
  </w:style>
  <w:style w:type="paragraph" w:styleId="Textpoznpodarou">
    <w:name w:val="footnote text"/>
    <w:basedOn w:val="Normln"/>
    <w:link w:val="TextpoznpodarouChar"/>
    <w:semiHidden/>
    <w:rsid w:val="00625985"/>
  </w:style>
  <w:style w:type="character" w:customStyle="1" w:styleId="TextpoznpodarouChar">
    <w:name w:val="Text pozn. pod čarou Char"/>
    <w:basedOn w:val="Standardnpsmoodstavce"/>
    <w:link w:val="Textpoznpodarou"/>
    <w:semiHidden/>
    <w:rsid w:val="00625985"/>
  </w:style>
  <w:style w:type="character" w:styleId="Znakapoznpodarou">
    <w:name w:val="footnote reference"/>
    <w:semiHidden/>
    <w:rsid w:val="00625985"/>
    <w:rPr>
      <w:vertAlign w:val="superscript"/>
    </w:rPr>
  </w:style>
  <w:style w:type="character" w:styleId="Odkaznakoment">
    <w:name w:val="annotation reference"/>
    <w:uiPriority w:val="99"/>
    <w:semiHidden/>
    <w:unhideWhenUsed/>
    <w:rsid w:val="00BE34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34B2"/>
  </w:style>
  <w:style w:type="character" w:customStyle="1" w:styleId="TextkomenteChar">
    <w:name w:val="Text komentáře Char"/>
    <w:basedOn w:val="Standardnpsmoodstavce"/>
    <w:link w:val="Textkomente"/>
    <w:uiPriority w:val="99"/>
    <w:rsid w:val="00BE34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4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34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4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4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79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57C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7CA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435D7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AB06F6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5E5E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E6094"/>
    <w:rPr>
      <w:i/>
      <w:iCs/>
    </w:rPr>
  </w:style>
  <w:style w:type="character" w:customStyle="1" w:styleId="column">
    <w:name w:val="column"/>
    <w:basedOn w:val="Standardnpsmoodstavce"/>
    <w:rsid w:val="005554ED"/>
  </w:style>
  <w:style w:type="paragraph" w:customStyle="1" w:styleId="JuPara">
    <w:name w:val="Ju_Para"/>
    <w:aliases w:val="ECHR_Para,_Para"/>
    <w:basedOn w:val="Normln"/>
    <w:link w:val="JuParaChar"/>
    <w:uiPriority w:val="4"/>
    <w:qFormat/>
    <w:rsid w:val="0030061A"/>
    <w:pPr>
      <w:ind w:firstLine="284"/>
      <w:jc w:val="both"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JuParaChar">
    <w:name w:val="Ju_Para Char"/>
    <w:aliases w:val="_Para Char"/>
    <w:link w:val="JuPara"/>
    <w:uiPriority w:val="4"/>
    <w:rsid w:val="0030061A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186617"/>
    <w:pPr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customStyle="1" w:styleId="pf0">
    <w:name w:val="pf0"/>
    <w:basedOn w:val="Normln"/>
    <w:rsid w:val="00F26CB5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Standardnpsmoodstavce"/>
    <w:rsid w:val="00F26CB5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15047"/>
    <w:rPr>
      <w:color w:val="605E5C"/>
      <w:shd w:val="clear" w:color="auto" w:fill="E1DFDD"/>
    </w:rPr>
  </w:style>
  <w:style w:type="character" w:customStyle="1" w:styleId="NadpisoddluChar">
    <w:name w:val="Nadpis oddílu Char"/>
    <w:link w:val="Nadpisoddlu"/>
    <w:rsid w:val="00AB2F7F"/>
    <w:rPr>
      <w:i/>
      <w:smallCaps/>
      <w:sz w:val="24"/>
    </w:rPr>
  </w:style>
  <w:style w:type="paragraph" w:customStyle="1" w:styleId="Stanovisko-text">
    <w:name w:val="Stanovisko-text"/>
    <w:basedOn w:val="Normln"/>
    <w:link w:val="Stanovisko-textChar"/>
    <w:rsid w:val="0041431E"/>
    <w:pPr>
      <w:numPr>
        <w:numId w:val="5"/>
      </w:numPr>
      <w:tabs>
        <w:tab w:val="clear" w:pos="644"/>
        <w:tab w:val="left" w:pos="993"/>
      </w:tabs>
      <w:spacing w:after="100"/>
      <w:ind w:firstLine="425"/>
      <w:jc w:val="both"/>
    </w:pPr>
    <w:rPr>
      <w:sz w:val="24"/>
      <w:szCs w:val="24"/>
      <w:lang w:val="en-GB"/>
    </w:rPr>
  </w:style>
  <w:style w:type="character" w:customStyle="1" w:styleId="Stanovisko-textChar">
    <w:name w:val="Stanovisko-text Char"/>
    <w:link w:val="Stanovisko-text"/>
    <w:rsid w:val="0041431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isoudy.cz/aktuality/strasbursky-soud-vydal-dva-vyznamne-rozsudky-proti-ceske-republice-k-uredni-zmene-pohlavi-a-k-pravu-na-obhajob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v.gov.cz/soubor/informace-ovs-matrika-c-5-2025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zd.gov.cz/tiskove-centrum-mz/ministerstvo-zdravotnictvi-vydava-novou-metodiku-pro-poskytovatele-zdravotnich-sluzeb-s-postupy-pro-uredni-zmenu-pohlav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zisoudy.cz/storage/files/kvz/Zpravodaj%20KVZ_2025_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zisoudy.cz/databaze-judikatury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ezisoud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D7C8-9532-4856-BDDF-B0C8E7FF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1090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Stanovisko vlády České republiky</vt:lpstr>
    </vt:vector>
  </TitlesOfParts>
  <Company>MSp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vlády České republiky</dc:title>
  <dc:subject/>
  <dc:creator>Kaštyl Miroslav Mgr.</dc:creator>
  <cp:keywords/>
  <cp:lastModifiedBy>Martinková Jana</cp:lastModifiedBy>
  <cp:revision>4</cp:revision>
  <cp:lastPrinted>2002-07-09T15:11:00Z</cp:lastPrinted>
  <dcterms:created xsi:type="dcterms:W3CDTF">2026-04-02T11:07:00Z</dcterms:created>
  <dcterms:modified xsi:type="dcterms:W3CDTF">2026-04-02T12:56:00Z</dcterms:modified>
  <cp:contentStatus/>
</cp:coreProperties>
</file>