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F8F52" w14:textId="30B0CCD8" w:rsidR="00B068C6" w:rsidRPr="00DD61C0" w:rsidRDefault="002C1F01" w:rsidP="00C44853">
      <w:pPr>
        <w:pStyle w:val="Nadpishlavn"/>
        <w:rPr>
          <w:i/>
          <w:lang w:val="en-GB"/>
        </w:rPr>
      </w:pPr>
      <w:r w:rsidRPr="00DD61C0">
        <w:rPr>
          <w:lang w:val="en-GB"/>
        </w:rPr>
        <w:t>Execution of the judgment</w:t>
      </w:r>
      <w:r w:rsidR="00B068C6" w:rsidRPr="00DD61C0">
        <w:rPr>
          <w:lang w:val="en-GB"/>
        </w:rPr>
        <w:t>s</w:t>
      </w:r>
      <w:r w:rsidRPr="00DD61C0">
        <w:rPr>
          <w:lang w:val="en-GB"/>
        </w:rPr>
        <w:t xml:space="preserve"> of the European Court of Human Rights</w:t>
      </w:r>
      <w:r w:rsidRPr="00DD61C0">
        <w:rPr>
          <w:lang w:val="en-GB"/>
        </w:rPr>
        <w:br/>
        <w:t>in case</w:t>
      </w:r>
      <w:r w:rsidR="00B068C6" w:rsidRPr="00DD61C0">
        <w:rPr>
          <w:lang w:val="en-GB"/>
        </w:rPr>
        <w:t>s</w:t>
      </w:r>
      <w:r w:rsidRPr="00DD61C0">
        <w:rPr>
          <w:lang w:val="en-GB"/>
        </w:rPr>
        <w:t xml:space="preserve"> no</w:t>
      </w:r>
      <w:r w:rsidR="00C638F6" w:rsidRPr="00DD61C0">
        <w:rPr>
          <w:lang w:val="en-GB"/>
        </w:rPr>
        <w:t>s</w:t>
      </w:r>
      <w:r w:rsidRPr="00DD61C0">
        <w:rPr>
          <w:lang w:val="en-GB"/>
        </w:rPr>
        <w:t xml:space="preserve">. </w:t>
      </w:r>
      <w:r w:rsidR="00A30046" w:rsidRPr="00DD61C0">
        <w:rPr>
          <w:lang w:val="en-GB"/>
        </w:rPr>
        <w:t xml:space="preserve">37782/21 </w:t>
      </w:r>
      <w:r w:rsidR="00C44853" w:rsidRPr="00DD61C0">
        <w:rPr>
          <w:lang w:val="en-GB"/>
        </w:rPr>
        <w:t xml:space="preserve">– </w:t>
      </w:r>
      <w:r w:rsidR="00A30046" w:rsidRPr="00DD61C0">
        <w:rPr>
          <w:i/>
          <w:lang w:val="en-GB"/>
        </w:rPr>
        <w:t>Z</w:t>
      </w:r>
      <w:r w:rsidR="00C44853" w:rsidRPr="00DD61C0">
        <w:rPr>
          <w:i/>
          <w:lang w:val="en-GB"/>
        </w:rPr>
        <w:t xml:space="preserve"> </w:t>
      </w:r>
      <w:r w:rsidR="000928E3" w:rsidRPr="00DD61C0">
        <w:rPr>
          <w:i/>
          <w:lang w:val="en-GB"/>
        </w:rPr>
        <w:t>v</w:t>
      </w:r>
      <w:r w:rsidR="000928E3" w:rsidRPr="00DD61C0">
        <w:rPr>
          <w:iCs/>
          <w:lang w:val="en-GB"/>
        </w:rPr>
        <w:t xml:space="preserve">. </w:t>
      </w:r>
      <w:r w:rsidR="000928E3" w:rsidRPr="00DD61C0">
        <w:rPr>
          <w:i/>
          <w:lang w:val="en-GB"/>
        </w:rPr>
        <w:t>the Czech Republic</w:t>
      </w:r>
    </w:p>
    <w:p w14:paraId="1905A329" w14:textId="77777777" w:rsidR="00510838" w:rsidRPr="00DD61C0" w:rsidRDefault="00B068C6" w:rsidP="00B068C6">
      <w:pPr>
        <w:pStyle w:val="Nadpishlavn"/>
        <w:rPr>
          <w:lang w:val="en-GB"/>
        </w:rPr>
      </w:pPr>
      <w:r w:rsidRPr="00DD61C0">
        <w:rPr>
          <w:iCs/>
          <w:lang w:val="en-GB"/>
        </w:rPr>
        <w:t xml:space="preserve">and </w:t>
      </w:r>
      <w:r w:rsidRPr="00DD61C0">
        <w:rPr>
          <w:lang w:val="en-GB"/>
        </w:rPr>
        <w:t xml:space="preserve">10145/22 – </w:t>
      </w:r>
      <w:r w:rsidRPr="00DD61C0">
        <w:rPr>
          <w:i/>
          <w:lang w:val="en-GB"/>
        </w:rPr>
        <w:t>Y v</w:t>
      </w:r>
      <w:r w:rsidRPr="00DD61C0">
        <w:rPr>
          <w:iCs/>
          <w:lang w:val="en-GB"/>
        </w:rPr>
        <w:t xml:space="preserve">. </w:t>
      </w:r>
      <w:r w:rsidRPr="00DD61C0">
        <w:rPr>
          <w:i/>
          <w:lang w:val="en-GB"/>
        </w:rPr>
        <w:t>the Czech Republic</w:t>
      </w:r>
      <w:r w:rsidRPr="00DD61C0">
        <w:rPr>
          <w:lang w:val="en-GB"/>
        </w:rPr>
        <w:t xml:space="preserve"> </w:t>
      </w:r>
    </w:p>
    <w:p w14:paraId="5A21AB23" w14:textId="00704EEE" w:rsidR="00AF3177" w:rsidRPr="00DD61C0" w:rsidRDefault="002C1F01" w:rsidP="00B068C6">
      <w:pPr>
        <w:pStyle w:val="Nadpishlavn"/>
        <w:rPr>
          <w:i/>
          <w:lang w:val="en-GB"/>
        </w:rPr>
      </w:pPr>
      <w:r w:rsidRPr="00DD61C0">
        <w:rPr>
          <w:lang w:val="en-GB"/>
        </w:rPr>
        <w:br/>
      </w:r>
      <w:r w:rsidR="007354F0" w:rsidRPr="00DD61C0">
        <w:rPr>
          <w:lang w:val="en-GB"/>
        </w:rPr>
        <w:t>Updated</w:t>
      </w:r>
      <w:r w:rsidR="000431B1" w:rsidRPr="00DD61C0">
        <w:rPr>
          <w:lang w:val="en-GB"/>
        </w:rPr>
        <w:t xml:space="preserve"> A</w:t>
      </w:r>
      <w:r w:rsidR="00AF3177" w:rsidRPr="00DD61C0">
        <w:rPr>
          <w:lang w:val="en-GB"/>
        </w:rPr>
        <w:t xml:space="preserve">ction </w:t>
      </w:r>
      <w:r w:rsidR="000431B1" w:rsidRPr="00DD61C0">
        <w:rPr>
          <w:lang w:val="en-GB"/>
        </w:rPr>
        <w:t>Plan</w:t>
      </w:r>
      <w:r w:rsidR="00AF3177" w:rsidRPr="00DD61C0">
        <w:rPr>
          <w:lang w:val="en-GB"/>
        </w:rPr>
        <w:t xml:space="preserve"> </w:t>
      </w:r>
      <w:r w:rsidRPr="00DD61C0">
        <w:rPr>
          <w:lang w:val="en-GB"/>
        </w:rPr>
        <w:t xml:space="preserve">submitted by </w:t>
      </w:r>
      <w:r w:rsidR="00AF3177" w:rsidRPr="00DD61C0">
        <w:rPr>
          <w:lang w:val="en-GB"/>
        </w:rPr>
        <w:t xml:space="preserve">the </w:t>
      </w:r>
      <w:r w:rsidR="00AB1570" w:rsidRPr="00DD61C0">
        <w:rPr>
          <w:lang w:val="en-GB"/>
        </w:rPr>
        <w:t xml:space="preserve">Czech </w:t>
      </w:r>
      <w:r w:rsidR="00AF3177" w:rsidRPr="00DD61C0">
        <w:rPr>
          <w:lang w:val="en-GB"/>
        </w:rPr>
        <w:t>G</w:t>
      </w:r>
      <w:r w:rsidRPr="00DD61C0">
        <w:rPr>
          <w:lang w:val="en-GB"/>
        </w:rPr>
        <w:t xml:space="preserve">overnment </w:t>
      </w:r>
      <w:r w:rsidR="00AB1570" w:rsidRPr="00DD61C0">
        <w:rPr>
          <w:lang w:val="en-GB"/>
        </w:rPr>
        <w:t>on</w:t>
      </w:r>
      <w:r w:rsidR="000928E3" w:rsidRPr="00DD61C0">
        <w:rPr>
          <w:lang w:val="en-GB"/>
        </w:rPr>
        <w:t xml:space="preserve"> </w:t>
      </w:r>
      <w:r w:rsidR="004B666C" w:rsidRPr="00DD61C0">
        <w:rPr>
          <w:lang w:val="en-GB"/>
        </w:rPr>
        <w:t>30</w:t>
      </w:r>
      <w:r w:rsidR="000928E3" w:rsidRPr="00DD61C0">
        <w:rPr>
          <w:lang w:val="en-GB"/>
        </w:rPr>
        <w:t xml:space="preserve"> </w:t>
      </w:r>
      <w:r w:rsidR="00B068C6" w:rsidRPr="00DD61C0">
        <w:rPr>
          <w:lang w:val="en-GB"/>
        </w:rPr>
        <w:t>September</w:t>
      </w:r>
      <w:r w:rsidR="00AB1570" w:rsidRPr="00DD61C0">
        <w:rPr>
          <w:lang w:val="en-GB"/>
        </w:rPr>
        <w:t xml:space="preserve"> 20</w:t>
      </w:r>
      <w:r w:rsidR="000928E3" w:rsidRPr="00DD61C0">
        <w:rPr>
          <w:lang w:val="en-GB"/>
        </w:rPr>
        <w:t>2</w:t>
      </w:r>
      <w:r w:rsidR="000431B1" w:rsidRPr="00DD61C0">
        <w:rPr>
          <w:lang w:val="en-GB"/>
        </w:rPr>
        <w:t>6</w:t>
      </w:r>
    </w:p>
    <w:p w14:paraId="7AC78E05" w14:textId="31FF55B7" w:rsidR="00E15047" w:rsidRPr="00DD61C0" w:rsidRDefault="00625985" w:rsidP="00510838">
      <w:pPr>
        <w:pStyle w:val="Textodstavce"/>
        <w:spacing w:before="360"/>
        <w:rPr>
          <w:lang w:val="en-GB"/>
        </w:rPr>
      </w:pPr>
      <w:r w:rsidRPr="00DD61C0">
        <w:rPr>
          <w:lang w:val="en-GB"/>
        </w:rPr>
        <w:t>In its judgment</w:t>
      </w:r>
      <w:r w:rsidR="00B068C6" w:rsidRPr="00DD61C0">
        <w:rPr>
          <w:lang w:val="en-GB"/>
        </w:rPr>
        <w:t xml:space="preserve">s in cases of </w:t>
      </w:r>
      <w:r w:rsidR="00B068C6" w:rsidRPr="00DD61C0">
        <w:rPr>
          <w:i/>
          <w:iCs/>
          <w:lang w:val="en-GB"/>
        </w:rPr>
        <w:t>Z v. the Czech Republic</w:t>
      </w:r>
      <w:r w:rsidR="000928E3" w:rsidRPr="00DD61C0">
        <w:rPr>
          <w:lang w:val="en-GB"/>
        </w:rPr>
        <w:t xml:space="preserve"> </w:t>
      </w:r>
      <w:r w:rsidR="009C6622" w:rsidRPr="00DD61C0">
        <w:rPr>
          <w:lang w:val="en-GB"/>
        </w:rPr>
        <w:t xml:space="preserve">of </w:t>
      </w:r>
      <w:r w:rsidR="00A30046" w:rsidRPr="00DD61C0">
        <w:rPr>
          <w:lang w:val="en-GB"/>
        </w:rPr>
        <w:t>20 June</w:t>
      </w:r>
      <w:r w:rsidR="000928E3" w:rsidRPr="00DD61C0">
        <w:rPr>
          <w:lang w:val="en-GB"/>
        </w:rPr>
        <w:t xml:space="preserve"> 202</w:t>
      </w:r>
      <w:r w:rsidR="00A30046" w:rsidRPr="00DD61C0">
        <w:rPr>
          <w:lang w:val="en-GB"/>
        </w:rPr>
        <w:t>4</w:t>
      </w:r>
      <w:r w:rsidR="00B068C6" w:rsidRPr="00DD61C0">
        <w:rPr>
          <w:lang w:val="en-GB"/>
        </w:rPr>
        <w:t xml:space="preserve"> and </w:t>
      </w:r>
      <w:r w:rsidR="00B068C6" w:rsidRPr="00DD61C0">
        <w:rPr>
          <w:i/>
          <w:iCs/>
          <w:lang w:val="en-GB"/>
        </w:rPr>
        <w:t>Y v. the Czech Republic</w:t>
      </w:r>
      <w:r w:rsidR="00B068C6" w:rsidRPr="00DD61C0">
        <w:rPr>
          <w:lang w:val="en-GB"/>
        </w:rPr>
        <w:t xml:space="preserve"> of 12 December 2024, </w:t>
      </w:r>
      <w:r w:rsidRPr="00DD61C0">
        <w:rPr>
          <w:lang w:val="en-GB"/>
        </w:rPr>
        <w:t xml:space="preserve">which </w:t>
      </w:r>
      <w:r w:rsidR="00B068C6" w:rsidRPr="00DD61C0">
        <w:rPr>
          <w:lang w:val="en-GB"/>
        </w:rPr>
        <w:t xml:space="preserve">both </w:t>
      </w:r>
      <w:r w:rsidRPr="00DD61C0">
        <w:rPr>
          <w:lang w:val="en-GB"/>
        </w:rPr>
        <w:t xml:space="preserve">became final in accordance with Article 44 § 2 </w:t>
      </w:r>
      <w:r w:rsidR="009C6622" w:rsidRPr="00DD61C0">
        <w:rPr>
          <w:lang w:val="en-GB"/>
        </w:rPr>
        <w:t>(</w:t>
      </w:r>
      <w:r w:rsidRPr="00DD61C0">
        <w:rPr>
          <w:lang w:val="en-GB"/>
        </w:rPr>
        <w:t>b) of the Convention,</w:t>
      </w:r>
      <w:r w:rsidR="00B068C6" w:rsidRPr="00DD61C0">
        <w:rPr>
          <w:lang w:val="en-GB"/>
        </w:rPr>
        <w:t xml:space="preserve"> </w:t>
      </w:r>
      <w:r w:rsidRPr="00DD61C0">
        <w:rPr>
          <w:lang w:val="en-GB"/>
        </w:rPr>
        <w:t xml:space="preserve">the European Court of Human Rights </w:t>
      </w:r>
      <w:r w:rsidR="00C0779A" w:rsidRPr="00DD61C0">
        <w:rPr>
          <w:lang w:val="en-GB"/>
        </w:rPr>
        <w:t>(“the</w:t>
      </w:r>
      <w:r w:rsidR="002C74F9" w:rsidRPr="00DD61C0">
        <w:rPr>
          <w:lang w:val="en-GB"/>
        </w:rPr>
        <w:t> </w:t>
      </w:r>
      <w:r w:rsidR="00C0779A" w:rsidRPr="00DD61C0">
        <w:rPr>
          <w:lang w:val="en-GB"/>
        </w:rPr>
        <w:t xml:space="preserve">Court”) </w:t>
      </w:r>
      <w:r w:rsidRPr="00DD61C0">
        <w:rPr>
          <w:lang w:val="en-GB"/>
        </w:rPr>
        <w:t>held that there was a</w:t>
      </w:r>
      <w:r w:rsidR="00CE292B" w:rsidRPr="00DD61C0">
        <w:rPr>
          <w:lang w:val="en-GB"/>
        </w:rPr>
        <w:t> </w:t>
      </w:r>
      <w:r w:rsidRPr="00DD61C0">
        <w:rPr>
          <w:lang w:val="en-GB"/>
        </w:rPr>
        <w:t>violation of Article</w:t>
      </w:r>
      <w:r w:rsidR="00A30046" w:rsidRPr="00DD61C0">
        <w:rPr>
          <w:lang w:val="en-GB"/>
        </w:rPr>
        <w:t>s</w:t>
      </w:r>
      <w:r w:rsidRPr="00DD61C0">
        <w:rPr>
          <w:lang w:val="en-GB"/>
        </w:rPr>
        <w:t xml:space="preserve"> </w:t>
      </w:r>
      <w:r w:rsidR="00A30046" w:rsidRPr="00DD61C0">
        <w:rPr>
          <w:lang w:val="en-GB"/>
        </w:rPr>
        <w:t>3 and 8</w:t>
      </w:r>
      <w:r w:rsidRPr="00DD61C0">
        <w:rPr>
          <w:lang w:val="en-GB"/>
        </w:rPr>
        <w:t xml:space="preserve"> of the Convention</w:t>
      </w:r>
      <w:r w:rsidR="0004395D" w:rsidRPr="00DD61C0">
        <w:rPr>
          <w:lang w:val="en-GB"/>
        </w:rPr>
        <w:t xml:space="preserve"> </w:t>
      </w:r>
      <w:r w:rsidR="00A30046" w:rsidRPr="00DD61C0">
        <w:rPr>
          <w:lang w:val="en-GB"/>
        </w:rPr>
        <w:t>due to</w:t>
      </w:r>
      <w:r w:rsidR="007B2C21" w:rsidRPr="00DD61C0">
        <w:rPr>
          <w:lang w:val="en-GB"/>
        </w:rPr>
        <w:t xml:space="preserve"> the</w:t>
      </w:r>
      <w:r w:rsidR="00A30046" w:rsidRPr="00DD61C0">
        <w:rPr>
          <w:lang w:val="en-GB"/>
        </w:rPr>
        <w:t xml:space="preserve"> failure of </w:t>
      </w:r>
      <w:r w:rsidR="00B52258" w:rsidRPr="00DD61C0">
        <w:rPr>
          <w:lang w:val="en-GB"/>
        </w:rPr>
        <w:t>domestic</w:t>
      </w:r>
      <w:r w:rsidR="00A30046" w:rsidRPr="00DD61C0">
        <w:rPr>
          <w:lang w:val="en-GB"/>
        </w:rPr>
        <w:t xml:space="preserve"> authorities to effectively apply a penal system capable of punishing non-consensual sexual acts. </w:t>
      </w:r>
      <w:r w:rsidR="00E15047" w:rsidRPr="00DD61C0">
        <w:rPr>
          <w:lang w:val="en-GB"/>
        </w:rPr>
        <w:t>In particular, the Court emphasized that the authorities did not sufficiently examine the possibility that the applicant</w:t>
      </w:r>
      <w:r w:rsidR="00B068C6" w:rsidRPr="00DD61C0">
        <w:rPr>
          <w:lang w:val="en-GB"/>
        </w:rPr>
        <w:t>s</w:t>
      </w:r>
      <w:r w:rsidR="00E15047" w:rsidRPr="00DD61C0">
        <w:rPr>
          <w:lang w:val="en-GB"/>
        </w:rPr>
        <w:t xml:space="preserve"> might have been in a situation of a </w:t>
      </w:r>
      <w:r w:rsidR="007B2C21" w:rsidRPr="00DD61C0">
        <w:rPr>
          <w:lang w:val="en-GB"/>
        </w:rPr>
        <w:t>special</w:t>
      </w:r>
      <w:r w:rsidR="00E15047" w:rsidRPr="00DD61C0">
        <w:rPr>
          <w:lang w:val="en-GB"/>
        </w:rPr>
        <w:t xml:space="preserve"> vulnerability and dependence vis-à-vis the alleged perpetrator</w:t>
      </w:r>
      <w:r w:rsidR="00B068C6" w:rsidRPr="00DD61C0">
        <w:rPr>
          <w:lang w:val="en-GB"/>
        </w:rPr>
        <w:t>s</w:t>
      </w:r>
      <w:r w:rsidR="00E15047" w:rsidRPr="00DD61C0">
        <w:rPr>
          <w:lang w:val="en-GB"/>
        </w:rPr>
        <w:t xml:space="preserve"> who w</w:t>
      </w:r>
      <w:r w:rsidR="00B068C6" w:rsidRPr="00DD61C0">
        <w:rPr>
          <w:lang w:val="en-GB"/>
        </w:rPr>
        <w:t>ere in both cases</w:t>
      </w:r>
      <w:r w:rsidR="00E15047" w:rsidRPr="00DD61C0">
        <w:rPr>
          <w:lang w:val="en-GB"/>
        </w:rPr>
        <w:t xml:space="preserve"> Catholic priest</w:t>
      </w:r>
      <w:r w:rsidR="00B068C6" w:rsidRPr="00DD61C0">
        <w:rPr>
          <w:lang w:val="en-GB"/>
        </w:rPr>
        <w:t>s</w:t>
      </w:r>
      <w:r w:rsidR="00E15047" w:rsidRPr="00DD61C0">
        <w:rPr>
          <w:lang w:val="en-GB"/>
        </w:rPr>
        <w:t>.</w:t>
      </w:r>
    </w:p>
    <w:p w14:paraId="55BF2B13" w14:textId="3F3AB0C7" w:rsidR="00625985" w:rsidRPr="00DD61C0" w:rsidRDefault="00625985" w:rsidP="00B068C6">
      <w:pPr>
        <w:pStyle w:val="Textodstavce"/>
        <w:rPr>
          <w:lang w:val="en-GB"/>
        </w:rPr>
      </w:pPr>
      <w:r w:rsidRPr="00DD61C0">
        <w:rPr>
          <w:lang w:val="en-GB"/>
        </w:rPr>
        <w:t xml:space="preserve">The present </w:t>
      </w:r>
      <w:r w:rsidR="005C7C2A" w:rsidRPr="00DD61C0">
        <w:rPr>
          <w:lang w:val="en-GB"/>
        </w:rPr>
        <w:t xml:space="preserve">updated </w:t>
      </w:r>
      <w:r w:rsidR="00AB317E" w:rsidRPr="00DD61C0">
        <w:rPr>
          <w:lang w:val="en-GB"/>
        </w:rPr>
        <w:t xml:space="preserve">action </w:t>
      </w:r>
      <w:r w:rsidR="005C7C2A" w:rsidRPr="00DD61C0">
        <w:rPr>
          <w:lang w:val="en-GB"/>
        </w:rPr>
        <w:t>plan</w:t>
      </w:r>
      <w:r w:rsidRPr="00DD61C0">
        <w:rPr>
          <w:lang w:val="en-GB"/>
        </w:rPr>
        <w:t xml:space="preserve"> </w:t>
      </w:r>
      <w:r w:rsidR="00B068C6" w:rsidRPr="00DD61C0">
        <w:rPr>
          <w:lang w:val="en-GB"/>
        </w:rPr>
        <w:t>covers both these judgments and is</w:t>
      </w:r>
      <w:r w:rsidRPr="00DD61C0">
        <w:rPr>
          <w:lang w:val="en-GB"/>
        </w:rPr>
        <w:t xml:space="preserve"> intended to inform the</w:t>
      </w:r>
      <w:r w:rsidR="00FA478A" w:rsidRPr="00DD61C0">
        <w:rPr>
          <w:lang w:val="en-GB"/>
        </w:rPr>
        <w:t> </w:t>
      </w:r>
      <w:r w:rsidRPr="00DD61C0">
        <w:rPr>
          <w:lang w:val="en-GB"/>
        </w:rPr>
        <w:t xml:space="preserve">Committee of Ministers of </w:t>
      </w:r>
      <w:r w:rsidR="00B068C6" w:rsidRPr="00DD61C0">
        <w:rPr>
          <w:lang w:val="en-GB"/>
        </w:rPr>
        <w:t xml:space="preserve">both </w:t>
      </w:r>
      <w:r w:rsidRPr="00DD61C0">
        <w:rPr>
          <w:lang w:val="en-GB"/>
        </w:rPr>
        <w:t xml:space="preserve">individual and general measures </w:t>
      </w:r>
      <w:r w:rsidR="000928E3" w:rsidRPr="00DD61C0">
        <w:rPr>
          <w:lang w:val="en-GB"/>
        </w:rPr>
        <w:t>that ha</w:t>
      </w:r>
      <w:r w:rsidR="00510838" w:rsidRPr="00DD61C0">
        <w:rPr>
          <w:lang w:val="en-GB"/>
        </w:rPr>
        <w:t>ve</w:t>
      </w:r>
      <w:r w:rsidR="000928E3" w:rsidRPr="00DD61C0">
        <w:rPr>
          <w:lang w:val="en-GB"/>
        </w:rPr>
        <w:t xml:space="preserve"> been adopted </w:t>
      </w:r>
      <w:r w:rsidR="00F45416" w:rsidRPr="00DD61C0">
        <w:rPr>
          <w:lang w:val="en-GB"/>
        </w:rPr>
        <w:t>to</w:t>
      </w:r>
      <w:r w:rsidR="000928E3" w:rsidRPr="00DD61C0">
        <w:rPr>
          <w:lang w:val="en-GB"/>
        </w:rPr>
        <w:t xml:space="preserve"> </w:t>
      </w:r>
      <w:r w:rsidR="00AB317E" w:rsidRPr="00DD61C0">
        <w:rPr>
          <w:lang w:val="en-GB"/>
        </w:rPr>
        <w:t xml:space="preserve">properly </w:t>
      </w:r>
      <w:r w:rsidR="000928E3" w:rsidRPr="00DD61C0">
        <w:rPr>
          <w:lang w:val="en-GB"/>
        </w:rPr>
        <w:t>execute</w:t>
      </w:r>
      <w:r w:rsidRPr="00DD61C0">
        <w:rPr>
          <w:lang w:val="en-GB"/>
        </w:rPr>
        <w:t xml:space="preserve"> the </w:t>
      </w:r>
      <w:r w:rsidR="000928E3" w:rsidRPr="00DD61C0">
        <w:rPr>
          <w:lang w:val="en-GB"/>
        </w:rPr>
        <w:t>above judgment</w:t>
      </w:r>
      <w:r w:rsidR="00B068C6" w:rsidRPr="00DD61C0">
        <w:rPr>
          <w:lang w:val="en-GB"/>
        </w:rPr>
        <w:t>s</w:t>
      </w:r>
      <w:r w:rsidRPr="00DD61C0">
        <w:rPr>
          <w:lang w:val="en-GB"/>
        </w:rPr>
        <w:t>.</w:t>
      </w:r>
    </w:p>
    <w:p w14:paraId="21E45F9B" w14:textId="77777777" w:rsidR="00AF3177" w:rsidRPr="00DD61C0" w:rsidRDefault="00AF3177" w:rsidP="00242A3B">
      <w:pPr>
        <w:pStyle w:val="Nadpissti"/>
        <w:spacing w:before="360"/>
        <w:rPr>
          <w:lang w:val="en-GB"/>
        </w:rPr>
      </w:pPr>
      <w:r w:rsidRPr="00DD61C0">
        <w:rPr>
          <w:lang w:val="en-GB"/>
        </w:rPr>
        <w:t xml:space="preserve">I. </w:t>
      </w:r>
      <w:r w:rsidR="00593E3E" w:rsidRPr="00DD61C0">
        <w:rPr>
          <w:lang w:val="en-GB"/>
        </w:rPr>
        <w:t>Individual measures</w:t>
      </w:r>
    </w:p>
    <w:p w14:paraId="51347FC5" w14:textId="4E5D2436" w:rsidR="0080464E" w:rsidRPr="00DD61C0" w:rsidRDefault="000F5680" w:rsidP="000F5680">
      <w:pPr>
        <w:pStyle w:val="Textodstavce"/>
        <w:rPr>
          <w:lang w:val="en-GB"/>
        </w:rPr>
      </w:pPr>
      <w:r w:rsidRPr="00DD61C0">
        <w:rPr>
          <w:lang w:val="en-GB"/>
        </w:rPr>
        <w:t xml:space="preserve">In the case of </w:t>
      </w:r>
      <w:r w:rsidRPr="00DD61C0">
        <w:rPr>
          <w:i/>
          <w:iCs/>
          <w:lang w:val="en-GB"/>
        </w:rPr>
        <w:t>Z v. the Czech Republic</w:t>
      </w:r>
      <w:r w:rsidRPr="00DD61C0">
        <w:rPr>
          <w:lang w:val="en-GB"/>
        </w:rPr>
        <w:t>, the j</w:t>
      </w:r>
      <w:r w:rsidR="0080464E" w:rsidRPr="00DD61C0">
        <w:rPr>
          <w:lang w:val="en-GB"/>
        </w:rPr>
        <w:t xml:space="preserve">ust satisfaction awarded by the Court in the amount of </w:t>
      </w:r>
      <w:r w:rsidR="004341DF" w:rsidRPr="00DD61C0">
        <w:rPr>
          <w:lang w:val="en-GB"/>
        </w:rPr>
        <w:t xml:space="preserve">EUR </w:t>
      </w:r>
      <w:r w:rsidR="000928E3" w:rsidRPr="00DD61C0">
        <w:rPr>
          <w:lang w:val="en-GB"/>
        </w:rPr>
        <w:t>2</w:t>
      </w:r>
      <w:r w:rsidR="00A30046" w:rsidRPr="00DD61C0">
        <w:rPr>
          <w:lang w:val="en-GB"/>
        </w:rPr>
        <w:t>6</w:t>
      </w:r>
      <w:r w:rsidR="000928E3" w:rsidRPr="00DD61C0">
        <w:rPr>
          <w:lang w:val="en-GB"/>
        </w:rPr>
        <w:t xml:space="preserve"> </w:t>
      </w:r>
      <w:r w:rsidR="003741C0" w:rsidRPr="00DD61C0">
        <w:rPr>
          <w:lang w:val="en-GB"/>
        </w:rPr>
        <w:t>00</w:t>
      </w:r>
      <w:r w:rsidR="000928E3" w:rsidRPr="00DD61C0">
        <w:rPr>
          <w:lang w:val="en-GB"/>
        </w:rPr>
        <w:t>0</w:t>
      </w:r>
      <w:r w:rsidR="0080464E" w:rsidRPr="00DD61C0">
        <w:rPr>
          <w:lang w:val="en-GB"/>
        </w:rPr>
        <w:t xml:space="preserve"> was paid</w:t>
      </w:r>
      <w:r w:rsidR="003741C0" w:rsidRPr="00DD61C0">
        <w:rPr>
          <w:lang w:val="en-GB"/>
        </w:rPr>
        <w:t xml:space="preserve"> to the applicant</w:t>
      </w:r>
      <w:r w:rsidR="0080464E" w:rsidRPr="00DD61C0">
        <w:rPr>
          <w:lang w:val="en-GB"/>
        </w:rPr>
        <w:t xml:space="preserve"> on </w:t>
      </w:r>
      <w:r w:rsidR="004600EC" w:rsidRPr="00DD61C0">
        <w:rPr>
          <w:lang w:val="en-GB"/>
        </w:rPr>
        <w:t>8</w:t>
      </w:r>
      <w:r w:rsidR="003741C0" w:rsidRPr="00DD61C0">
        <w:rPr>
          <w:lang w:val="en-GB"/>
        </w:rPr>
        <w:t xml:space="preserve"> </w:t>
      </w:r>
      <w:r w:rsidR="004600EC" w:rsidRPr="00DD61C0">
        <w:rPr>
          <w:lang w:val="en-GB"/>
        </w:rPr>
        <w:t>November</w:t>
      </w:r>
      <w:r w:rsidR="00F45416" w:rsidRPr="00DD61C0">
        <w:rPr>
          <w:lang w:val="en-GB"/>
        </w:rPr>
        <w:t xml:space="preserve"> 202</w:t>
      </w:r>
      <w:r w:rsidR="003741C0" w:rsidRPr="00DD61C0">
        <w:rPr>
          <w:lang w:val="en-GB"/>
        </w:rPr>
        <w:t>4</w:t>
      </w:r>
      <w:r w:rsidR="00F45416" w:rsidRPr="00DD61C0">
        <w:rPr>
          <w:lang w:val="en-GB"/>
        </w:rPr>
        <w:t>.</w:t>
      </w:r>
      <w:r w:rsidRPr="00DD61C0">
        <w:rPr>
          <w:lang w:val="en-GB"/>
        </w:rPr>
        <w:t xml:space="preserve"> In the case of </w:t>
      </w:r>
      <w:r w:rsidRPr="00DD61C0">
        <w:rPr>
          <w:i/>
          <w:iCs/>
          <w:lang w:val="en-GB"/>
        </w:rPr>
        <w:t>Y v. the Czech Republic</w:t>
      </w:r>
      <w:r w:rsidRPr="00DD61C0">
        <w:rPr>
          <w:lang w:val="en-GB"/>
        </w:rPr>
        <w:t>, the just satisfaction awarded by the Court in the amount of EUR 29 000 was paid to the applicant on 3 June 2025.</w:t>
      </w:r>
      <w:r w:rsidR="0080464E" w:rsidRPr="00DD61C0">
        <w:rPr>
          <w:rStyle w:val="Znakapoznpodarou"/>
          <w:lang w:val="en-GB"/>
        </w:rPr>
        <w:footnoteReference w:id="1"/>
      </w:r>
    </w:p>
    <w:p w14:paraId="3326EB9D" w14:textId="6BA35A1C" w:rsidR="00444968" w:rsidRPr="00DD61C0" w:rsidRDefault="005768EA" w:rsidP="00EE740F">
      <w:pPr>
        <w:pStyle w:val="Textodstavce"/>
        <w:rPr>
          <w:lang w:val="en-GB"/>
        </w:rPr>
      </w:pPr>
      <w:r w:rsidRPr="00DD61C0">
        <w:rPr>
          <w:lang w:val="en-GB"/>
        </w:rPr>
        <w:t xml:space="preserve">The Government recall that the Constitutional Court Act offers the possibility to request </w:t>
      </w:r>
      <w:r w:rsidR="00AB317E" w:rsidRPr="00DD61C0">
        <w:rPr>
          <w:lang w:val="en-GB"/>
        </w:rPr>
        <w:t xml:space="preserve">the </w:t>
      </w:r>
      <w:r w:rsidRPr="00DD61C0">
        <w:rPr>
          <w:lang w:val="en-GB"/>
        </w:rPr>
        <w:t>reopening of the proceedings before the Constitutional Court following the judgment of the</w:t>
      </w:r>
      <w:r w:rsidR="00FA478A" w:rsidRPr="00DD61C0">
        <w:rPr>
          <w:lang w:val="en-GB"/>
        </w:rPr>
        <w:t> </w:t>
      </w:r>
      <w:r w:rsidRPr="00DD61C0">
        <w:rPr>
          <w:lang w:val="en-GB"/>
        </w:rPr>
        <w:t>Court.</w:t>
      </w:r>
      <w:r w:rsidRPr="00DD61C0">
        <w:rPr>
          <w:rStyle w:val="Znakapoznpodarou"/>
          <w:lang w:val="en-GB"/>
        </w:rPr>
        <w:footnoteReference w:id="2"/>
      </w:r>
      <w:r w:rsidRPr="00DD61C0">
        <w:rPr>
          <w:lang w:val="en-GB"/>
        </w:rPr>
        <w:t xml:space="preserve"> </w:t>
      </w:r>
      <w:r w:rsidR="00F76FD1" w:rsidRPr="00DD61C0">
        <w:rPr>
          <w:lang w:val="en-GB"/>
        </w:rPr>
        <w:t>Both applicants filed this request.</w:t>
      </w:r>
    </w:p>
    <w:p w14:paraId="1E9073E1" w14:textId="1595BB39" w:rsidR="00F76FD1" w:rsidRPr="00DD61C0" w:rsidRDefault="00F76FD1" w:rsidP="00F76FD1">
      <w:pPr>
        <w:pStyle w:val="Nadpispodsti"/>
        <w:spacing w:before="300"/>
        <w:rPr>
          <w:i/>
          <w:iCs/>
          <w:u w:val="none"/>
          <w:lang w:val="en-GB"/>
        </w:rPr>
      </w:pPr>
      <w:r w:rsidRPr="00DD61C0">
        <w:rPr>
          <w:i/>
          <w:iCs/>
          <w:u w:val="none"/>
          <w:lang w:val="en-GB"/>
        </w:rPr>
        <w:t>A. Reopening of the proceedings in case Z</w:t>
      </w:r>
    </w:p>
    <w:p w14:paraId="0475CA7E" w14:textId="0C67F314" w:rsidR="009B565C" w:rsidRPr="00DD61C0" w:rsidRDefault="005768EA" w:rsidP="007866EF">
      <w:pPr>
        <w:pStyle w:val="Textodstavce"/>
        <w:rPr>
          <w:lang w:val="en-GB"/>
        </w:rPr>
      </w:pPr>
      <w:r w:rsidRPr="00DD61C0">
        <w:rPr>
          <w:lang w:val="en-GB"/>
        </w:rPr>
        <w:t xml:space="preserve">The applicant </w:t>
      </w:r>
      <w:r w:rsidR="00C638F6" w:rsidRPr="00DD61C0">
        <w:rPr>
          <w:lang w:val="en-GB"/>
        </w:rPr>
        <w:t xml:space="preserve">in </w:t>
      </w:r>
      <w:r w:rsidR="000F5680" w:rsidRPr="00DD61C0">
        <w:rPr>
          <w:lang w:val="en-GB"/>
        </w:rPr>
        <w:t xml:space="preserve">the case of </w:t>
      </w:r>
      <w:r w:rsidR="000F5680" w:rsidRPr="00DD61C0">
        <w:rPr>
          <w:i/>
          <w:iCs/>
          <w:lang w:val="en-GB"/>
        </w:rPr>
        <w:t>Z v. the Czech Republic</w:t>
      </w:r>
      <w:r w:rsidR="000F5680" w:rsidRPr="00DD61C0">
        <w:rPr>
          <w:lang w:val="en-GB"/>
        </w:rPr>
        <w:t xml:space="preserve"> </w:t>
      </w:r>
      <w:r w:rsidRPr="00DD61C0">
        <w:rPr>
          <w:lang w:val="en-GB"/>
        </w:rPr>
        <w:t>avail</w:t>
      </w:r>
      <w:r w:rsidR="00EE740F" w:rsidRPr="00DD61C0">
        <w:rPr>
          <w:lang w:val="en-GB"/>
        </w:rPr>
        <w:t>ed</w:t>
      </w:r>
      <w:r w:rsidRPr="00DD61C0">
        <w:rPr>
          <w:lang w:val="en-GB"/>
        </w:rPr>
        <w:t xml:space="preserve"> </w:t>
      </w:r>
      <w:r w:rsidR="00894CCD" w:rsidRPr="00DD61C0">
        <w:rPr>
          <w:lang w:val="en-GB"/>
        </w:rPr>
        <w:t>herself</w:t>
      </w:r>
      <w:r w:rsidRPr="00DD61C0">
        <w:rPr>
          <w:lang w:val="en-GB"/>
        </w:rPr>
        <w:t xml:space="preserve"> of this possibility</w:t>
      </w:r>
      <w:r w:rsidR="00EE740F" w:rsidRPr="00DD61C0">
        <w:rPr>
          <w:lang w:val="en-GB"/>
        </w:rPr>
        <w:t xml:space="preserve"> in January 2025</w:t>
      </w:r>
      <w:r w:rsidR="000F5680" w:rsidRPr="00DD61C0">
        <w:rPr>
          <w:lang w:val="en-GB"/>
        </w:rPr>
        <w:t xml:space="preserve">. </w:t>
      </w:r>
      <w:r w:rsidR="00444968" w:rsidRPr="00DD61C0">
        <w:rPr>
          <w:lang w:val="en-GB"/>
        </w:rPr>
        <w:t xml:space="preserve">In May 2025, the Constitutional Court </w:t>
      </w:r>
      <w:hyperlink r:id="rId8" w:history="1">
        <w:r w:rsidR="00444968" w:rsidRPr="00DD61C0">
          <w:rPr>
            <w:rStyle w:val="Hypertextovodkaz"/>
            <w:lang w:val="en-GB"/>
          </w:rPr>
          <w:t>decided</w:t>
        </w:r>
      </w:hyperlink>
      <w:r w:rsidR="00444968" w:rsidRPr="00DD61C0">
        <w:rPr>
          <w:lang w:val="en-GB"/>
        </w:rPr>
        <w:t xml:space="preserve"> to reopen </w:t>
      </w:r>
      <w:r w:rsidR="00C638F6" w:rsidRPr="00DD61C0">
        <w:rPr>
          <w:lang w:val="en-GB"/>
        </w:rPr>
        <w:t>th</w:t>
      </w:r>
      <w:r w:rsidR="00444968" w:rsidRPr="00DD61C0">
        <w:rPr>
          <w:lang w:val="en-GB"/>
        </w:rPr>
        <w:t xml:space="preserve">e proceedings in her case, and in July 2025, it </w:t>
      </w:r>
      <w:hyperlink r:id="rId9" w:history="1">
        <w:r w:rsidR="00444968" w:rsidRPr="00DD61C0">
          <w:rPr>
            <w:rStyle w:val="Hypertextovodkaz"/>
            <w:lang w:val="en-GB"/>
          </w:rPr>
          <w:t>held</w:t>
        </w:r>
      </w:hyperlink>
      <w:r w:rsidR="00444968" w:rsidRPr="00DD61C0">
        <w:rPr>
          <w:lang w:val="en-GB"/>
        </w:rPr>
        <w:t xml:space="preserve"> in these reopened proceedings that</w:t>
      </w:r>
      <w:r w:rsidR="00C638F6" w:rsidRPr="00DD61C0">
        <w:rPr>
          <w:lang w:val="en-GB"/>
        </w:rPr>
        <w:t xml:space="preserve"> the</w:t>
      </w:r>
      <w:r w:rsidR="00A64D7F" w:rsidRPr="00DD61C0">
        <w:rPr>
          <w:lang w:val="en-GB"/>
        </w:rPr>
        <w:t xml:space="preserve"> applicant’s fundamental</w:t>
      </w:r>
      <w:r w:rsidR="00444968" w:rsidRPr="00DD61C0">
        <w:rPr>
          <w:lang w:val="en-GB"/>
        </w:rPr>
        <w:t xml:space="preserve"> rights were violated by the </w:t>
      </w:r>
      <w:r w:rsidR="00C638F6" w:rsidRPr="00DD61C0">
        <w:rPr>
          <w:lang w:val="en-GB"/>
        </w:rPr>
        <w:t xml:space="preserve">respective </w:t>
      </w:r>
      <w:r w:rsidR="00444968" w:rsidRPr="00DD61C0">
        <w:rPr>
          <w:lang w:val="en-GB"/>
        </w:rPr>
        <w:t>decisions of police and prosecutor’s authorities, quashed these decisions and remitted the case for a new investigation.</w:t>
      </w:r>
    </w:p>
    <w:p w14:paraId="1CCF3D8D" w14:textId="25105B3A" w:rsidR="00F76FD1" w:rsidRPr="00DD61C0" w:rsidRDefault="00F828E1" w:rsidP="005C1E79">
      <w:pPr>
        <w:pStyle w:val="Textodstavce"/>
        <w:rPr>
          <w:lang w:val="en-GB"/>
        </w:rPr>
      </w:pPr>
      <w:r w:rsidRPr="00DD61C0">
        <w:rPr>
          <w:lang w:val="en-GB"/>
        </w:rPr>
        <w:t>In September 2025</w:t>
      </w:r>
      <w:r w:rsidR="002C695E" w:rsidRPr="00DD61C0">
        <w:rPr>
          <w:lang w:val="en-GB"/>
        </w:rPr>
        <w:t>,</w:t>
      </w:r>
      <w:r w:rsidR="00B756C6" w:rsidRPr="00DD61C0">
        <w:rPr>
          <w:lang w:val="en-GB"/>
        </w:rPr>
        <w:t xml:space="preserve"> the competen</w:t>
      </w:r>
      <w:r w:rsidR="00BC0AB0" w:rsidRPr="00DD61C0">
        <w:rPr>
          <w:lang w:val="en-GB"/>
        </w:rPr>
        <w:t xml:space="preserve">t police authorities interviewed </w:t>
      </w:r>
      <w:r w:rsidR="005C1E79" w:rsidRPr="00DD61C0">
        <w:rPr>
          <w:lang w:val="en-GB"/>
        </w:rPr>
        <w:t xml:space="preserve">both the applicant and </w:t>
      </w:r>
      <w:r w:rsidR="00C64156" w:rsidRPr="00DD61C0">
        <w:rPr>
          <w:lang w:val="en-GB"/>
        </w:rPr>
        <w:t>the suspect</w:t>
      </w:r>
      <w:r w:rsidR="005C1E79" w:rsidRPr="00DD61C0">
        <w:rPr>
          <w:lang w:val="en-GB"/>
        </w:rPr>
        <w:t xml:space="preserve">. In November 2025, the police issued a decision to discontinue the proceedings. The decision states that on the basis of the collected evidence, it can be concluded that the applicant was not in a subordinate position towards the suspect, and that the suspect could not have discerned from her behaviour that she was opposed to </w:t>
      </w:r>
      <w:r w:rsidR="002C695E" w:rsidRPr="00DD61C0">
        <w:rPr>
          <w:lang w:val="en-GB"/>
        </w:rPr>
        <w:t xml:space="preserve">having a </w:t>
      </w:r>
      <w:r w:rsidR="005C1E79" w:rsidRPr="00DD61C0">
        <w:rPr>
          <w:lang w:val="en-GB"/>
        </w:rPr>
        <w:t xml:space="preserve">sexual relationship with him. </w:t>
      </w:r>
      <w:r w:rsidR="005C1E79" w:rsidRPr="00DD61C0">
        <w:rPr>
          <w:lang w:val="en-GB"/>
        </w:rPr>
        <w:lastRenderedPageBreak/>
        <w:t xml:space="preserve">Therefore, the acts in question cannot be classified as criminal according to law in force at the relevant time. </w:t>
      </w:r>
    </w:p>
    <w:p w14:paraId="13093BD3" w14:textId="77777777" w:rsidR="00750510" w:rsidRPr="00DD61C0" w:rsidRDefault="002C695E" w:rsidP="00750510">
      <w:pPr>
        <w:pStyle w:val="Textodstavce"/>
        <w:rPr>
          <w:lang w:val="en-GB"/>
        </w:rPr>
      </w:pPr>
      <w:r w:rsidRPr="00DD61C0">
        <w:rPr>
          <w:lang w:val="en-GB"/>
        </w:rPr>
        <w:t>In December 2025, the District Prosecutor’s Office dismissed a complaint of the applicant against this decision. The applicant filed a petition to the Municipal Prosecutor’s Office to exa</w:t>
      </w:r>
      <w:r w:rsidR="00BC0AB0" w:rsidRPr="00DD61C0">
        <w:rPr>
          <w:lang w:val="en-GB"/>
        </w:rPr>
        <w:t xml:space="preserve">mine this dismissal. </w:t>
      </w:r>
    </w:p>
    <w:p w14:paraId="0425267E" w14:textId="05E344D4" w:rsidR="002C695E" w:rsidRPr="00DD61C0" w:rsidRDefault="00BC0AB0" w:rsidP="00750510">
      <w:pPr>
        <w:pStyle w:val="Textodstavce"/>
        <w:rPr>
          <w:lang w:val="en-GB"/>
        </w:rPr>
      </w:pPr>
      <w:r w:rsidRPr="00DD61C0">
        <w:rPr>
          <w:lang w:val="en-GB"/>
        </w:rPr>
        <w:t>In March</w:t>
      </w:r>
      <w:r w:rsidR="002C695E" w:rsidRPr="00DD61C0">
        <w:rPr>
          <w:lang w:val="en-GB"/>
        </w:rPr>
        <w:t xml:space="preserve"> 2026, </w:t>
      </w:r>
      <w:r w:rsidRPr="00DD61C0">
        <w:rPr>
          <w:lang w:val="en-GB"/>
        </w:rPr>
        <w:t>the Municipal Prosecutor’s Office notified the applicant that it examined the file and found that the investigation was insufficient</w:t>
      </w:r>
      <w:r w:rsidR="00623053" w:rsidRPr="00DD61C0">
        <w:rPr>
          <w:lang w:val="en-GB"/>
        </w:rPr>
        <w:t>,</w:t>
      </w:r>
      <w:r w:rsidRPr="00DD61C0">
        <w:rPr>
          <w:lang w:val="en-GB"/>
        </w:rPr>
        <w:t xml:space="preserve"> as well as inc</w:t>
      </w:r>
      <w:r w:rsidR="00623053" w:rsidRPr="00DD61C0">
        <w:rPr>
          <w:lang w:val="en-GB"/>
        </w:rPr>
        <w:t>ompatible with the finding</w:t>
      </w:r>
      <w:r w:rsidRPr="00DD61C0">
        <w:rPr>
          <w:lang w:val="en-GB"/>
        </w:rPr>
        <w:t>s of the Constitutional Court</w:t>
      </w:r>
      <w:r w:rsidR="00623053" w:rsidRPr="00DD61C0">
        <w:rPr>
          <w:lang w:val="en-GB"/>
        </w:rPr>
        <w:t xml:space="preserve"> in her case</w:t>
      </w:r>
      <w:r w:rsidRPr="00DD61C0">
        <w:rPr>
          <w:lang w:val="en-GB"/>
        </w:rPr>
        <w:t>. In particular, the police should</w:t>
      </w:r>
      <w:r w:rsidR="00623053" w:rsidRPr="00DD61C0">
        <w:rPr>
          <w:lang w:val="en-GB"/>
        </w:rPr>
        <w:t xml:space="preserve"> not have based their conclusion</w:t>
      </w:r>
      <w:r w:rsidRPr="00DD61C0">
        <w:rPr>
          <w:lang w:val="en-GB"/>
        </w:rPr>
        <w:t xml:space="preserve">s only on the interviews of the applicant and the suspect, but should have </w:t>
      </w:r>
      <w:r w:rsidR="00623053" w:rsidRPr="00DD61C0">
        <w:rPr>
          <w:lang w:val="en-GB"/>
        </w:rPr>
        <w:t xml:space="preserve">also commissioned </w:t>
      </w:r>
      <w:r w:rsidRPr="00DD61C0">
        <w:rPr>
          <w:lang w:val="en-GB"/>
        </w:rPr>
        <w:t xml:space="preserve">an </w:t>
      </w:r>
      <w:r w:rsidR="00750510" w:rsidRPr="00DD61C0">
        <w:rPr>
          <w:lang w:val="en-GB"/>
        </w:rPr>
        <w:t>expert report</w:t>
      </w:r>
      <w:r w:rsidRPr="00DD61C0">
        <w:rPr>
          <w:lang w:val="en-GB"/>
        </w:rPr>
        <w:t xml:space="preserve"> which would assess the nature of the relationship between the applicant and the suspect during the relevant period, as well as its religious dimension and potential asymmetry, and which would explore the possible factors of special vulnerability on the side of the applicant, including her </w:t>
      </w:r>
      <w:r w:rsidR="00750510" w:rsidRPr="00DD61C0">
        <w:rPr>
          <w:lang w:val="en-GB"/>
        </w:rPr>
        <w:t>previous traumatic experiences. Therefore, the Municipal Prosecutor’s Office remitted the case to the police for a new investigation.</w:t>
      </w:r>
    </w:p>
    <w:p w14:paraId="6BAFFC38" w14:textId="339CD2D0" w:rsidR="00750510" w:rsidRPr="00DD61C0" w:rsidRDefault="00750510" w:rsidP="00750510">
      <w:pPr>
        <w:pStyle w:val="Textodstavce"/>
        <w:rPr>
          <w:lang w:val="en-GB"/>
        </w:rPr>
      </w:pPr>
      <w:r w:rsidRPr="00DD61C0">
        <w:rPr>
          <w:lang w:val="en-GB"/>
        </w:rPr>
        <w:t>In April 2026, the police authority commissioned a new expert report in the area of psychology and psychiatry, specifying 22 questions for the experts to answer, including whether the applicant suffers from a post-traumatic stress disorder caused by the act under investigation, what was the dynamics of the relationship between the applicant and the suspect considering the specific church, religious and university setting, and which psychological factors might have influenced the behaviour of the applicant towards the suspect. The deadline</w:t>
      </w:r>
      <w:r w:rsidR="00D01289" w:rsidRPr="00DD61C0">
        <w:rPr>
          <w:lang w:val="en-GB"/>
        </w:rPr>
        <w:t xml:space="preserve"> for th</w:t>
      </w:r>
      <w:r w:rsidR="008D3821" w:rsidRPr="00DD61C0">
        <w:rPr>
          <w:lang w:val="en-GB"/>
        </w:rPr>
        <w:t>e</w:t>
      </w:r>
      <w:r w:rsidR="00D01289" w:rsidRPr="00DD61C0">
        <w:rPr>
          <w:lang w:val="en-GB"/>
        </w:rPr>
        <w:t xml:space="preserve"> report was set </w:t>
      </w:r>
      <w:r w:rsidR="008D3821" w:rsidRPr="00DD61C0">
        <w:rPr>
          <w:lang w:val="en-GB"/>
        </w:rPr>
        <w:t>for</w:t>
      </w:r>
      <w:r w:rsidR="00D01289" w:rsidRPr="00DD61C0">
        <w:rPr>
          <w:lang w:val="en-GB"/>
        </w:rPr>
        <w:t xml:space="preserve"> 30 November 2026.</w:t>
      </w:r>
    </w:p>
    <w:p w14:paraId="5C79F1F1" w14:textId="22504836" w:rsidR="00F76FD1" w:rsidRPr="00DD61C0" w:rsidRDefault="00750384" w:rsidP="00F828E1">
      <w:pPr>
        <w:pStyle w:val="Textodstavce"/>
        <w:rPr>
          <w:lang w:val="en-GB"/>
        </w:rPr>
      </w:pPr>
      <w:r w:rsidRPr="00DD61C0">
        <w:rPr>
          <w:lang w:val="en-GB"/>
        </w:rPr>
        <w:t>In May and June 2026, the police</w:t>
      </w:r>
      <w:r w:rsidR="00D01289" w:rsidRPr="00DD61C0">
        <w:rPr>
          <w:lang w:val="en-GB"/>
        </w:rPr>
        <w:t xml:space="preserve"> carried out other investigative measures, such as</w:t>
      </w:r>
      <w:r w:rsidRPr="00DD61C0">
        <w:rPr>
          <w:lang w:val="en-GB"/>
        </w:rPr>
        <w:t xml:space="preserve"> </w:t>
      </w:r>
      <w:r w:rsidR="00D01289" w:rsidRPr="00DD61C0">
        <w:rPr>
          <w:lang w:val="en-GB"/>
        </w:rPr>
        <w:t xml:space="preserve">interviews of </w:t>
      </w:r>
      <w:r w:rsidRPr="00DD61C0">
        <w:rPr>
          <w:lang w:val="en-GB"/>
        </w:rPr>
        <w:t xml:space="preserve">four </w:t>
      </w:r>
      <w:r w:rsidR="00D01289" w:rsidRPr="00DD61C0">
        <w:rPr>
          <w:lang w:val="en-GB"/>
        </w:rPr>
        <w:t>different witnesses</w:t>
      </w:r>
      <w:r w:rsidRPr="00DD61C0">
        <w:rPr>
          <w:lang w:val="en-GB"/>
        </w:rPr>
        <w:t xml:space="preserve"> connected with the case</w:t>
      </w:r>
      <w:r w:rsidR="00D01289" w:rsidRPr="00DD61C0">
        <w:rPr>
          <w:lang w:val="en-GB"/>
        </w:rPr>
        <w:t xml:space="preserve">, all coming from a church background. </w:t>
      </w:r>
      <w:r w:rsidRPr="00DD61C0">
        <w:rPr>
          <w:lang w:val="en-GB"/>
        </w:rPr>
        <w:t xml:space="preserve">Furthermore, the police requested the religious order to which the suspect belongs to submit information on how this order reacted to the allegations of </w:t>
      </w:r>
      <w:r w:rsidR="00623053" w:rsidRPr="00DD61C0">
        <w:rPr>
          <w:lang w:val="en-GB"/>
        </w:rPr>
        <w:t xml:space="preserve">sexual abuse raised </w:t>
      </w:r>
      <w:r w:rsidRPr="00DD61C0">
        <w:rPr>
          <w:lang w:val="en-GB"/>
        </w:rPr>
        <w:t>by the applicant against</w:t>
      </w:r>
      <w:r w:rsidR="00623053" w:rsidRPr="00DD61C0">
        <w:rPr>
          <w:lang w:val="en-GB"/>
        </w:rPr>
        <w:t xml:space="preserve"> him</w:t>
      </w:r>
      <w:r w:rsidRPr="00DD61C0">
        <w:rPr>
          <w:lang w:val="en-GB"/>
        </w:rPr>
        <w:t xml:space="preserve">. In its response, the respective religious order informed the police, </w:t>
      </w:r>
      <w:r w:rsidRPr="00DD61C0">
        <w:rPr>
          <w:i/>
          <w:lang w:val="en-GB"/>
        </w:rPr>
        <w:t>inter alia</w:t>
      </w:r>
      <w:r w:rsidRPr="00DD61C0">
        <w:rPr>
          <w:lang w:val="en-GB"/>
        </w:rPr>
        <w:t>, that after the decision of the Constitutional Court in 2025 to reopen the case, they ordered the suspect to relocate from the monastery in Italy back to the Czech Republic, so that he can fully cooperate with the investigating authorities. They also</w:t>
      </w:r>
      <w:r w:rsidR="00F828E1" w:rsidRPr="00DD61C0">
        <w:rPr>
          <w:lang w:val="en-GB"/>
        </w:rPr>
        <w:t xml:space="preserve"> suspended all his public performances as a priest and</w:t>
      </w:r>
      <w:r w:rsidRPr="00DD61C0">
        <w:rPr>
          <w:lang w:val="en-GB"/>
        </w:rPr>
        <w:t xml:space="preserve"> launched canonical proceedings against him which are still pending. Lastly, in 2025, they published on their website a call for all other potential victims of this suspect to come forward and contact the religious order, but no one </w:t>
      </w:r>
      <w:r w:rsidR="00E42709" w:rsidRPr="00DD61C0">
        <w:rPr>
          <w:lang w:val="en-GB"/>
        </w:rPr>
        <w:t xml:space="preserve">has replied </w:t>
      </w:r>
      <w:r w:rsidR="00F828E1" w:rsidRPr="00DD61C0">
        <w:rPr>
          <w:lang w:val="en-GB"/>
        </w:rPr>
        <w:t>so far.</w:t>
      </w:r>
    </w:p>
    <w:p w14:paraId="04A9F3E1" w14:textId="6532F37C" w:rsidR="00F76FD1" w:rsidRPr="00DD61C0" w:rsidRDefault="00F76FD1" w:rsidP="00F76FD1">
      <w:pPr>
        <w:pStyle w:val="Nadpispodsti"/>
        <w:spacing w:before="300"/>
        <w:rPr>
          <w:i/>
          <w:iCs/>
          <w:u w:val="none"/>
          <w:lang w:val="en-GB"/>
        </w:rPr>
      </w:pPr>
      <w:r w:rsidRPr="00DD61C0">
        <w:rPr>
          <w:i/>
          <w:iCs/>
          <w:u w:val="none"/>
          <w:lang w:val="en-GB"/>
        </w:rPr>
        <w:t>B. Reopening of the proceedings in case Y</w:t>
      </w:r>
    </w:p>
    <w:p w14:paraId="23798FFC" w14:textId="5D745751" w:rsidR="00F76FD1" w:rsidRPr="00DD61C0" w:rsidRDefault="00F76FD1" w:rsidP="00F76FD1">
      <w:pPr>
        <w:pStyle w:val="Nadpisoddlu"/>
        <w:numPr>
          <w:ilvl w:val="0"/>
          <w:numId w:val="3"/>
        </w:numPr>
        <w:spacing w:before="300"/>
        <w:ind w:left="714" w:hanging="357"/>
        <w:rPr>
          <w:lang w:val="en-GB"/>
        </w:rPr>
      </w:pPr>
      <w:r w:rsidRPr="00DD61C0">
        <w:rPr>
          <w:lang w:val="en-GB"/>
        </w:rPr>
        <w:t>Criminal proceedings</w:t>
      </w:r>
    </w:p>
    <w:p w14:paraId="7A7F141A" w14:textId="2F8AF784" w:rsidR="00F76FD1" w:rsidRPr="00DD61C0" w:rsidRDefault="000F5680" w:rsidP="00F76FD1">
      <w:pPr>
        <w:pStyle w:val="Textodstavce"/>
        <w:rPr>
          <w:lang w:val="en-GB"/>
        </w:rPr>
      </w:pPr>
      <w:r w:rsidRPr="00DD61C0">
        <w:rPr>
          <w:lang w:val="en-GB"/>
        </w:rPr>
        <w:t>The</w:t>
      </w:r>
      <w:r w:rsidR="00C638F6" w:rsidRPr="00DD61C0">
        <w:rPr>
          <w:lang w:val="en-GB"/>
        </w:rPr>
        <w:t xml:space="preserve"> applicant in the case of </w:t>
      </w:r>
      <w:r w:rsidRPr="00DD61C0">
        <w:rPr>
          <w:i/>
          <w:iCs/>
          <w:lang w:val="en-GB"/>
        </w:rPr>
        <w:t xml:space="preserve">Y v. the Czech Republic </w:t>
      </w:r>
      <w:r w:rsidRPr="00DD61C0">
        <w:rPr>
          <w:lang w:val="en-GB"/>
        </w:rPr>
        <w:t xml:space="preserve">filed a request for reopening of the </w:t>
      </w:r>
      <w:r w:rsidR="00F76FD1" w:rsidRPr="00DD61C0">
        <w:rPr>
          <w:lang w:val="en-GB"/>
        </w:rPr>
        <w:t xml:space="preserve">criminal </w:t>
      </w:r>
      <w:r w:rsidRPr="00DD61C0">
        <w:rPr>
          <w:lang w:val="en-GB"/>
        </w:rPr>
        <w:t>proceedings in June 2025</w:t>
      </w:r>
      <w:r w:rsidR="00F76FD1" w:rsidRPr="00DD61C0">
        <w:rPr>
          <w:lang w:val="en-GB"/>
        </w:rPr>
        <w:t xml:space="preserve">. In September 2025, the Constitutional Court </w:t>
      </w:r>
      <w:hyperlink r:id="rId10" w:history="1">
        <w:r w:rsidR="00F76FD1" w:rsidRPr="00DD61C0">
          <w:rPr>
            <w:rStyle w:val="Hypertextovodkaz"/>
            <w:lang w:val="en-GB"/>
          </w:rPr>
          <w:t>decided</w:t>
        </w:r>
      </w:hyperlink>
      <w:r w:rsidR="00F76FD1" w:rsidRPr="00DD61C0">
        <w:rPr>
          <w:lang w:val="en-GB"/>
        </w:rPr>
        <w:t xml:space="preserve"> to reopen these proceedings, and in January 2026, it </w:t>
      </w:r>
      <w:hyperlink r:id="rId11" w:history="1">
        <w:r w:rsidR="00F76FD1" w:rsidRPr="00DD61C0">
          <w:rPr>
            <w:rStyle w:val="Hypertextovodkaz"/>
            <w:lang w:val="en-GB"/>
          </w:rPr>
          <w:t>held</w:t>
        </w:r>
      </w:hyperlink>
      <w:r w:rsidR="00F76FD1" w:rsidRPr="00DD61C0">
        <w:rPr>
          <w:lang w:val="en-GB"/>
        </w:rPr>
        <w:t xml:space="preserve"> these reopened procee</w:t>
      </w:r>
      <w:r w:rsidR="00A64D7F" w:rsidRPr="00DD61C0">
        <w:rPr>
          <w:lang w:val="en-GB"/>
        </w:rPr>
        <w:t>dings that the applicant’s fundamental</w:t>
      </w:r>
      <w:r w:rsidR="00F76FD1" w:rsidRPr="00DD61C0">
        <w:rPr>
          <w:lang w:val="en-GB"/>
        </w:rPr>
        <w:t xml:space="preserve"> rights were violated by the respective decisions of police and prosecutor’s authorities, quashed these decisions and remitted the case for a new investigation.</w:t>
      </w:r>
    </w:p>
    <w:p w14:paraId="4F4B0D51" w14:textId="0C850020" w:rsidR="00F76FD1" w:rsidRPr="00DD61C0" w:rsidRDefault="00F76FD1" w:rsidP="00972491">
      <w:pPr>
        <w:pStyle w:val="Textodstavce"/>
        <w:rPr>
          <w:lang w:val="en-GB"/>
        </w:rPr>
      </w:pPr>
      <w:r w:rsidRPr="00DD61C0">
        <w:rPr>
          <w:lang w:val="en-GB"/>
        </w:rPr>
        <w:t>Following this decision,</w:t>
      </w:r>
      <w:r w:rsidR="009B334C" w:rsidRPr="00DD61C0">
        <w:rPr>
          <w:lang w:val="en-GB"/>
        </w:rPr>
        <w:t xml:space="preserve"> the District Prosecutor’s Office issued instructions for the competent police authorities on how to proceed in the </w:t>
      </w:r>
      <w:r w:rsidR="00972491" w:rsidRPr="00DD61C0">
        <w:rPr>
          <w:lang w:val="en-GB"/>
        </w:rPr>
        <w:t xml:space="preserve">renewed </w:t>
      </w:r>
      <w:r w:rsidR="009B334C" w:rsidRPr="00DD61C0">
        <w:rPr>
          <w:lang w:val="en-GB"/>
        </w:rPr>
        <w:t>investigation</w:t>
      </w:r>
      <w:r w:rsidR="003C7FEB" w:rsidRPr="00DD61C0">
        <w:rPr>
          <w:lang w:val="en-GB"/>
        </w:rPr>
        <w:t>. In particular, the Prosecutor’s Office</w:t>
      </w:r>
      <w:r w:rsidR="00972491" w:rsidRPr="00DD61C0">
        <w:rPr>
          <w:lang w:val="en-GB"/>
        </w:rPr>
        <w:t xml:space="preserve"> order</w:t>
      </w:r>
      <w:r w:rsidR="003C7FEB" w:rsidRPr="00DD61C0">
        <w:rPr>
          <w:lang w:val="en-GB"/>
        </w:rPr>
        <w:t>ed the police</w:t>
      </w:r>
      <w:r w:rsidR="009B334C" w:rsidRPr="00DD61C0">
        <w:rPr>
          <w:lang w:val="en-GB"/>
        </w:rPr>
        <w:t xml:space="preserve"> to request relevant information</w:t>
      </w:r>
      <w:r w:rsidR="001F0E0D" w:rsidRPr="00DD61C0">
        <w:rPr>
          <w:lang w:val="en-GB"/>
        </w:rPr>
        <w:t xml:space="preserve"> from the church bodies, namely the Bishopric of </w:t>
      </w:r>
      <w:proofErr w:type="spellStart"/>
      <w:r w:rsidR="001F0E0D" w:rsidRPr="00DD61C0">
        <w:rPr>
          <w:lang w:val="en-GB"/>
        </w:rPr>
        <w:t>Litoměřice</w:t>
      </w:r>
      <w:proofErr w:type="spellEnd"/>
      <w:r w:rsidR="001F0E0D" w:rsidRPr="00DD61C0">
        <w:rPr>
          <w:lang w:val="en-GB"/>
        </w:rPr>
        <w:t xml:space="preserve"> and the Archbishopric of Prague, </w:t>
      </w:r>
      <w:r w:rsidR="003C7FEB" w:rsidRPr="00DD61C0">
        <w:rPr>
          <w:lang w:val="en-GB"/>
        </w:rPr>
        <w:t xml:space="preserve">including </w:t>
      </w:r>
      <w:r w:rsidR="00972491" w:rsidRPr="00DD61C0">
        <w:rPr>
          <w:lang w:val="en-GB"/>
        </w:rPr>
        <w:t>the detailed information on how these church bodies</w:t>
      </w:r>
      <w:r w:rsidR="003C7FEB" w:rsidRPr="00DD61C0">
        <w:rPr>
          <w:lang w:val="en-GB"/>
        </w:rPr>
        <w:t xml:space="preserve"> responded to the allegations of sexual abuse raised </w:t>
      </w:r>
      <w:r w:rsidR="00972491" w:rsidRPr="00DD61C0">
        <w:rPr>
          <w:lang w:val="en-GB"/>
        </w:rPr>
        <w:t xml:space="preserve">in </w:t>
      </w:r>
      <w:r w:rsidR="00972491" w:rsidRPr="00DD61C0">
        <w:rPr>
          <w:lang w:val="en-GB"/>
        </w:rPr>
        <w:lastRenderedPageBreak/>
        <w:t xml:space="preserve">the past by the applicant </w:t>
      </w:r>
      <w:r w:rsidR="003C7FEB" w:rsidRPr="00DD61C0">
        <w:rPr>
          <w:lang w:val="en-GB"/>
        </w:rPr>
        <w:t>against the priest in question. The church bodies are currently processing the request</w:t>
      </w:r>
      <w:r w:rsidR="00972491" w:rsidRPr="00DD61C0">
        <w:rPr>
          <w:lang w:val="en-GB"/>
        </w:rPr>
        <w:t xml:space="preserve"> </w:t>
      </w:r>
      <w:proofErr w:type="gramStart"/>
      <w:r w:rsidR="00972491" w:rsidRPr="00DD61C0">
        <w:rPr>
          <w:lang w:val="en-GB"/>
        </w:rPr>
        <w:t>on the basis of</w:t>
      </w:r>
      <w:proofErr w:type="gramEnd"/>
      <w:r w:rsidR="00972491" w:rsidRPr="00DD61C0">
        <w:rPr>
          <w:lang w:val="en-GB"/>
        </w:rPr>
        <w:t xml:space="preserve"> archived documents,</w:t>
      </w:r>
      <w:r w:rsidR="003C7FEB" w:rsidRPr="00DD61C0">
        <w:rPr>
          <w:lang w:val="en-GB"/>
        </w:rPr>
        <w:t xml:space="preserve"> which is complicated by the fact that the case</w:t>
      </w:r>
      <w:r w:rsidR="009B334C" w:rsidRPr="00DD61C0">
        <w:rPr>
          <w:lang w:val="en-GB"/>
        </w:rPr>
        <w:t xml:space="preserve"> concerns </w:t>
      </w:r>
      <w:r w:rsidR="001F0E0D" w:rsidRPr="00DD61C0">
        <w:rPr>
          <w:lang w:val="en-GB"/>
        </w:rPr>
        <w:t>an alleged sexual abuse going back as far as 2002.</w:t>
      </w:r>
      <w:r w:rsidR="00972491" w:rsidRPr="00DD61C0">
        <w:rPr>
          <w:lang w:val="en-GB"/>
        </w:rPr>
        <w:t xml:space="preserve"> Furthermore, the </w:t>
      </w:r>
      <w:r w:rsidR="003C7FEB" w:rsidRPr="00DD61C0">
        <w:rPr>
          <w:lang w:val="en-GB"/>
        </w:rPr>
        <w:t xml:space="preserve">Prosecutor’s Office </w:t>
      </w:r>
      <w:r w:rsidR="00972491" w:rsidRPr="00DD61C0">
        <w:rPr>
          <w:lang w:val="en-GB"/>
        </w:rPr>
        <w:t>instruct</w:t>
      </w:r>
      <w:r w:rsidR="005C1E79" w:rsidRPr="00DD61C0">
        <w:rPr>
          <w:lang w:val="en-GB"/>
        </w:rPr>
        <w:t>ed the police to conduct new</w:t>
      </w:r>
      <w:r w:rsidR="00972491" w:rsidRPr="00DD61C0">
        <w:rPr>
          <w:lang w:val="en-GB"/>
        </w:rPr>
        <w:t xml:space="preserve"> interview</w:t>
      </w:r>
      <w:r w:rsidR="005C1E79" w:rsidRPr="00DD61C0">
        <w:rPr>
          <w:lang w:val="en-GB"/>
        </w:rPr>
        <w:t>s</w:t>
      </w:r>
      <w:r w:rsidR="00972491" w:rsidRPr="00DD61C0">
        <w:rPr>
          <w:lang w:val="en-GB"/>
        </w:rPr>
        <w:t xml:space="preserve"> of both the suspect and the applicant, as well as to </w:t>
      </w:r>
      <w:r w:rsidR="002C695E" w:rsidRPr="00DD61C0">
        <w:rPr>
          <w:lang w:val="en-GB"/>
        </w:rPr>
        <w:t>com</w:t>
      </w:r>
      <w:r w:rsidR="00E42709" w:rsidRPr="00DD61C0">
        <w:rPr>
          <w:lang w:val="en-GB"/>
        </w:rPr>
        <w:t>mission a new</w:t>
      </w:r>
      <w:r w:rsidR="00972491" w:rsidRPr="00DD61C0">
        <w:rPr>
          <w:lang w:val="en-GB"/>
        </w:rPr>
        <w:t xml:space="preserve"> expert report </w:t>
      </w:r>
      <w:proofErr w:type="gramStart"/>
      <w:r w:rsidR="00972491" w:rsidRPr="00DD61C0">
        <w:rPr>
          <w:lang w:val="en-GB"/>
        </w:rPr>
        <w:t>in the area of</w:t>
      </w:r>
      <w:proofErr w:type="gramEnd"/>
      <w:r w:rsidR="00972491" w:rsidRPr="00DD61C0">
        <w:rPr>
          <w:lang w:val="en-GB"/>
        </w:rPr>
        <w:t xml:space="preserve"> psychology and psychiatry. The deadline for the police authorities to complete the abo</w:t>
      </w:r>
      <w:r w:rsidR="00B756C6" w:rsidRPr="00DD61C0">
        <w:rPr>
          <w:lang w:val="en-GB"/>
        </w:rPr>
        <w:t>ve-mentioned investigative measures</w:t>
      </w:r>
      <w:r w:rsidR="00972491" w:rsidRPr="00DD61C0">
        <w:rPr>
          <w:lang w:val="en-GB"/>
        </w:rPr>
        <w:t xml:space="preserve"> was set by the Prosecutor’s Office </w:t>
      </w:r>
      <w:r w:rsidR="008D3821" w:rsidRPr="00DD61C0">
        <w:rPr>
          <w:lang w:val="en-GB"/>
        </w:rPr>
        <w:t>for</w:t>
      </w:r>
      <w:r w:rsidR="00972491" w:rsidRPr="00DD61C0">
        <w:rPr>
          <w:lang w:val="en-GB"/>
        </w:rPr>
        <w:t xml:space="preserve"> 2 October 2026.</w:t>
      </w:r>
    </w:p>
    <w:p w14:paraId="56C7D4D0" w14:textId="7541ED94" w:rsidR="00F76FD1" w:rsidRPr="00DD61C0" w:rsidRDefault="00F76FD1" w:rsidP="00F76FD1">
      <w:pPr>
        <w:pStyle w:val="Nadpisoddlu"/>
        <w:numPr>
          <w:ilvl w:val="0"/>
          <w:numId w:val="3"/>
        </w:numPr>
        <w:spacing w:before="300"/>
        <w:ind w:left="714" w:hanging="357"/>
        <w:rPr>
          <w:lang w:val="en-GB"/>
        </w:rPr>
      </w:pPr>
      <w:r w:rsidRPr="00DD61C0">
        <w:rPr>
          <w:lang w:val="en-GB"/>
        </w:rPr>
        <w:t>Civil proceedings</w:t>
      </w:r>
    </w:p>
    <w:p w14:paraId="3B127D66" w14:textId="4113C6CC" w:rsidR="007866EF" w:rsidRPr="00DD61C0" w:rsidRDefault="009B565C" w:rsidP="007866EF">
      <w:pPr>
        <w:pStyle w:val="Textodstavce"/>
        <w:rPr>
          <w:lang w:val="en-GB"/>
        </w:rPr>
      </w:pPr>
      <w:r w:rsidRPr="00DD61C0">
        <w:rPr>
          <w:lang w:val="en-GB"/>
        </w:rPr>
        <w:t>Moreover, in August 2025</w:t>
      </w:r>
      <w:r w:rsidR="00BE20E0" w:rsidRPr="00DD61C0">
        <w:rPr>
          <w:lang w:val="en-GB"/>
        </w:rPr>
        <w:t>,</w:t>
      </w:r>
      <w:r w:rsidRPr="00DD61C0">
        <w:rPr>
          <w:lang w:val="en-GB"/>
        </w:rPr>
        <w:t xml:space="preserve"> the Constitutional Court issued a decision concerning the compensatory proceedings brought by the applicant </w:t>
      </w:r>
      <w:r w:rsidR="00BE20E0" w:rsidRPr="00DD61C0">
        <w:rPr>
          <w:lang w:val="en-GB"/>
        </w:rPr>
        <w:t xml:space="preserve">in the case of </w:t>
      </w:r>
      <w:r w:rsidR="00BE20E0" w:rsidRPr="00DD61C0">
        <w:rPr>
          <w:i/>
          <w:iCs/>
          <w:lang w:val="en-GB"/>
        </w:rPr>
        <w:t xml:space="preserve">Y v. the Czech Republic </w:t>
      </w:r>
      <w:r w:rsidRPr="00DD61C0">
        <w:rPr>
          <w:lang w:val="en-GB"/>
        </w:rPr>
        <w:t>in 2022: in these proceeding</w:t>
      </w:r>
      <w:r w:rsidR="00BE20E0" w:rsidRPr="00DD61C0">
        <w:rPr>
          <w:lang w:val="en-GB"/>
        </w:rPr>
        <w:t>s</w:t>
      </w:r>
      <w:r w:rsidRPr="00DD61C0">
        <w:rPr>
          <w:lang w:val="en-GB"/>
        </w:rPr>
        <w:t>, she was</w:t>
      </w:r>
      <w:bookmarkStart w:id="0" w:name="_Ref132199197"/>
      <w:r w:rsidRPr="00DD61C0">
        <w:rPr>
          <w:lang w:val="en-GB"/>
        </w:rPr>
        <w:t xml:space="preserve"> seeking </w:t>
      </w:r>
      <w:r w:rsidR="00BE20E0" w:rsidRPr="00DD61C0">
        <w:rPr>
          <w:lang w:val="en-GB"/>
        </w:rPr>
        <w:t xml:space="preserve">a </w:t>
      </w:r>
      <w:r w:rsidRPr="00DD61C0">
        <w:rPr>
          <w:lang w:val="en-GB"/>
        </w:rPr>
        <w:t xml:space="preserve">compensation for non-pecuniary damage pursuant to Act no. 82/1998 on State liability for damage, in connection with the police decision to discontinue the criminal proceedings </w:t>
      </w:r>
      <w:r w:rsidR="00BE20E0" w:rsidRPr="00DD61C0">
        <w:rPr>
          <w:lang w:val="en-GB"/>
        </w:rPr>
        <w:t>against her alleged sexual aggressor</w:t>
      </w:r>
      <w:r w:rsidRPr="00DD61C0">
        <w:rPr>
          <w:lang w:val="en-GB"/>
        </w:rPr>
        <w:t>. Her action was dismissed by ordinary courts as time barred with the argument that if the applicant claims an irregular official conduct on the part of police authorities, consisting of the failure in their duty to conduct an effective investigation, the six-month time limit for submitting the claim (set by Act no. 82/1998) started to run when the police decision to discontinue the criminal proceedings was delivered to the applicant, i.e. already in 2017, whereas the applicant filed the action for compensation against the State only in 2022</w:t>
      </w:r>
      <w:bookmarkEnd w:id="0"/>
      <w:r w:rsidRPr="00DD61C0">
        <w:rPr>
          <w:lang w:val="en-GB"/>
        </w:rPr>
        <w:t xml:space="preserve">. The Constitutional Court in its </w:t>
      </w:r>
      <w:hyperlink r:id="rId12" w:history="1">
        <w:r w:rsidRPr="00DD61C0">
          <w:rPr>
            <w:rStyle w:val="Hypertextovodkaz"/>
            <w:lang w:val="en-GB"/>
          </w:rPr>
          <w:t>decision</w:t>
        </w:r>
      </w:hyperlink>
      <w:r w:rsidRPr="00DD61C0">
        <w:rPr>
          <w:lang w:val="en-GB"/>
        </w:rPr>
        <w:t xml:space="preserve"> held that </w:t>
      </w:r>
      <w:r w:rsidR="007866EF" w:rsidRPr="00DD61C0">
        <w:rPr>
          <w:lang w:val="en-GB"/>
        </w:rPr>
        <w:t xml:space="preserve">the </w:t>
      </w:r>
      <w:r w:rsidR="00BE20E0" w:rsidRPr="00DD61C0">
        <w:rPr>
          <w:lang w:val="en-GB"/>
        </w:rPr>
        <w:t>judgments</w:t>
      </w:r>
      <w:r w:rsidR="007866EF" w:rsidRPr="00DD61C0">
        <w:rPr>
          <w:lang w:val="en-GB"/>
        </w:rPr>
        <w:t xml:space="preserve"> of the ordinary courts violate</w:t>
      </w:r>
      <w:r w:rsidR="00D86905" w:rsidRPr="00DD61C0">
        <w:rPr>
          <w:lang w:val="en-GB"/>
        </w:rPr>
        <w:t>d</w:t>
      </w:r>
      <w:r w:rsidR="007866EF" w:rsidRPr="00DD61C0">
        <w:rPr>
          <w:lang w:val="en-GB"/>
        </w:rPr>
        <w:t xml:space="preserve"> the applicant’s right to a compensation of damage caused by State, since the time limit for submitting the claim in </w:t>
      </w:r>
      <w:r w:rsidR="00BE20E0" w:rsidRPr="00DD61C0">
        <w:rPr>
          <w:lang w:val="en-GB"/>
        </w:rPr>
        <w:t>her</w:t>
      </w:r>
      <w:r w:rsidR="00D86905" w:rsidRPr="00DD61C0">
        <w:rPr>
          <w:lang w:val="en-GB"/>
        </w:rPr>
        <w:t xml:space="preserve"> case would</w:t>
      </w:r>
      <w:r w:rsidR="007866EF" w:rsidRPr="00DD61C0">
        <w:rPr>
          <w:lang w:val="en-GB"/>
        </w:rPr>
        <w:t xml:space="preserve"> only start to run after the Constitutional Court issues its decision on the above-mentioned request of the applicant for reopening of the proceedings, because only on the basis of the Constitutional Court’s decision in the reopened proceedings it will be</w:t>
      </w:r>
      <w:r w:rsidR="00BE20E0" w:rsidRPr="00DD61C0">
        <w:rPr>
          <w:lang w:val="en-GB"/>
        </w:rPr>
        <w:t>come</w:t>
      </w:r>
      <w:r w:rsidR="007866EF" w:rsidRPr="00DD61C0">
        <w:rPr>
          <w:lang w:val="en-GB"/>
        </w:rPr>
        <w:t xml:space="preserve"> clear </w:t>
      </w:r>
      <w:r w:rsidR="00BE20E0" w:rsidRPr="00DD61C0">
        <w:rPr>
          <w:lang w:val="en-GB"/>
        </w:rPr>
        <w:t>to</w:t>
      </w:r>
      <w:r w:rsidR="007866EF" w:rsidRPr="00DD61C0">
        <w:rPr>
          <w:lang w:val="en-GB"/>
        </w:rPr>
        <w:t xml:space="preserve"> what extent her right to effective investigation was violated. According to the Constitutional Court, the fact that the just satisfaction awarded by the Court</w:t>
      </w:r>
      <w:r w:rsidR="00BE20E0" w:rsidRPr="00DD61C0">
        <w:rPr>
          <w:lang w:val="en-GB"/>
        </w:rPr>
        <w:t xml:space="preserve"> in this case</w:t>
      </w:r>
      <w:r w:rsidR="007866EF" w:rsidRPr="00DD61C0">
        <w:rPr>
          <w:lang w:val="en-GB"/>
        </w:rPr>
        <w:t xml:space="preserve"> had already been paid to the applicant does not exclude that additional compensation could be a</w:t>
      </w:r>
      <w:r w:rsidR="00BE20E0" w:rsidRPr="00DD61C0">
        <w:rPr>
          <w:lang w:val="en-GB"/>
        </w:rPr>
        <w:t>ssign</w:t>
      </w:r>
      <w:r w:rsidR="007866EF" w:rsidRPr="00DD61C0">
        <w:rPr>
          <w:lang w:val="en-GB"/>
        </w:rPr>
        <w:t xml:space="preserve">ed to her by domestic courts; however, the amount awarded to the applicant by the Court can be taken into consideration in these </w:t>
      </w:r>
      <w:r w:rsidR="00BE20E0" w:rsidRPr="00DD61C0">
        <w:rPr>
          <w:lang w:val="en-GB"/>
        </w:rPr>
        <w:t xml:space="preserve">domestic </w:t>
      </w:r>
      <w:r w:rsidR="007866EF" w:rsidRPr="00DD61C0">
        <w:rPr>
          <w:lang w:val="en-GB"/>
        </w:rPr>
        <w:t>compensatory proceedings.</w:t>
      </w:r>
    </w:p>
    <w:p w14:paraId="5D177D8D" w14:textId="68AD9932" w:rsidR="00F76FD1" w:rsidRPr="00DD61C0" w:rsidRDefault="00F76FD1" w:rsidP="00F76FD1">
      <w:pPr>
        <w:pStyle w:val="Textodstavce"/>
        <w:rPr>
          <w:lang w:val="en-GB"/>
        </w:rPr>
      </w:pPr>
      <w:r w:rsidRPr="00DD61C0">
        <w:rPr>
          <w:lang w:val="en-GB"/>
        </w:rPr>
        <w:t>Following this decision,</w:t>
      </w:r>
      <w:r w:rsidR="00D86905" w:rsidRPr="00DD61C0">
        <w:rPr>
          <w:lang w:val="en-GB"/>
        </w:rPr>
        <w:t xml:space="preserve"> the District Court ruled in March 2026 that the</w:t>
      </w:r>
      <w:r w:rsidR="00A64D7F" w:rsidRPr="00DD61C0">
        <w:rPr>
          <w:lang w:val="en-GB"/>
        </w:rPr>
        <w:t xml:space="preserve"> renewed compensatory proceedings will be suspended until the termination of the reopened criminal proceedings in the applicant’s case (see previous part of this </w:t>
      </w:r>
      <w:r w:rsidR="005E787B" w:rsidRPr="00DD61C0">
        <w:rPr>
          <w:lang w:val="en-GB"/>
        </w:rPr>
        <w:t xml:space="preserve">updated </w:t>
      </w:r>
      <w:r w:rsidR="00A64D7F" w:rsidRPr="00DD61C0">
        <w:rPr>
          <w:lang w:val="en-GB"/>
        </w:rPr>
        <w:t>action plan). The appellate court quashed this judgment in June 2026 and remitted the case back to the District Court, instructing it to examine the question of causal connection between the violation of the applicant’s</w:t>
      </w:r>
      <w:r w:rsidR="00B756C6" w:rsidRPr="00DD61C0">
        <w:rPr>
          <w:lang w:val="en-GB"/>
        </w:rPr>
        <w:t xml:space="preserve"> fundamental rights, as</w:t>
      </w:r>
      <w:r w:rsidR="00A64D7F" w:rsidRPr="00DD61C0">
        <w:rPr>
          <w:lang w:val="en-GB"/>
        </w:rPr>
        <w:t xml:space="preserve"> identified by the Constitutional Court</w:t>
      </w:r>
      <w:r w:rsidR="00B756C6" w:rsidRPr="00DD61C0">
        <w:rPr>
          <w:lang w:val="en-GB"/>
        </w:rPr>
        <w:t xml:space="preserve"> in the criminal proceedings, and the</w:t>
      </w:r>
      <w:r w:rsidR="00A64D7F" w:rsidRPr="00DD61C0">
        <w:rPr>
          <w:lang w:val="en-GB"/>
        </w:rPr>
        <w:t xml:space="preserve"> non-pecuniary damage</w:t>
      </w:r>
      <w:r w:rsidR="00B756C6" w:rsidRPr="00DD61C0">
        <w:rPr>
          <w:lang w:val="en-GB"/>
        </w:rPr>
        <w:t xml:space="preserve"> allegedly caused to her by this violation.</w:t>
      </w:r>
    </w:p>
    <w:p w14:paraId="4F3E4060" w14:textId="77777777" w:rsidR="00AF3177" w:rsidRPr="00DD61C0" w:rsidRDefault="00AF3177" w:rsidP="00242A3B">
      <w:pPr>
        <w:pStyle w:val="Nadpissti"/>
        <w:spacing w:before="360"/>
        <w:rPr>
          <w:lang w:val="en-GB"/>
        </w:rPr>
      </w:pPr>
      <w:r w:rsidRPr="00DD61C0">
        <w:rPr>
          <w:lang w:val="en-GB"/>
        </w:rPr>
        <w:t xml:space="preserve">II. </w:t>
      </w:r>
      <w:r w:rsidR="00593E3E" w:rsidRPr="00DD61C0">
        <w:rPr>
          <w:lang w:val="en-GB"/>
        </w:rPr>
        <w:t>general measures</w:t>
      </w:r>
    </w:p>
    <w:p w14:paraId="22387AC5" w14:textId="5C7A6A13" w:rsidR="00C001AF" w:rsidRPr="00DD61C0" w:rsidRDefault="00C001AF" w:rsidP="00242A3B">
      <w:pPr>
        <w:pStyle w:val="Nadpispodsti"/>
        <w:spacing w:before="300"/>
        <w:rPr>
          <w:i/>
          <w:iCs/>
          <w:u w:val="none"/>
          <w:lang w:val="en-GB"/>
        </w:rPr>
      </w:pPr>
      <w:r w:rsidRPr="00DD61C0">
        <w:rPr>
          <w:i/>
          <w:iCs/>
          <w:u w:val="none"/>
          <w:lang w:val="en-GB"/>
        </w:rPr>
        <w:t xml:space="preserve">A. </w:t>
      </w:r>
      <w:r w:rsidR="00A57CA5" w:rsidRPr="00DD61C0">
        <w:rPr>
          <w:i/>
          <w:iCs/>
          <w:u w:val="none"/>
          <w:lang w:val="en-GB"/>
        </w:rPr>
        <w:t>Raising Awar</w:t>
      </w:r>
      <w:r w:rsidR="00554054" w:rsidRPr="00DD61C0">
        <w:rPr>
          <w:i/>
          <w:iCs/>
          <w:u w:val="none"/>
          <w:lang w:val="en-GB"/>
        </w:rPr>
        <w:t>e</w:t>
      </w:r>
      <w:r w:rsidR="00A57CA5" w:rsidRPr="00DD61C0">
        <w:rPr>
          <w:i/>
          <w:iCs/>
          <w:u w:val="none"/>
          <w:lang w:val="en-GB"/>
        </w:rPr>
        <w:t>ness and analysis of the judgment</w:t>
      </w:r>
      <w:r w:rsidR="00444968" w:rsidRPr="00DD61C0">
        <w:rPr>
          <w:i/>
          <w:iCs/>
          <w:u w:val="none"/>
          <w:lang w:val="en-GB"/>
        </w:rPr>
        <w:t>s</w:t>
      </w:r>
    </w:p>
    <w:p w14:paraId="2F916741" w14:textId="62F61CA1" w:rsidR="00A57CA5" w:rsidRPr="00DD61C0" w:rsidRDefault="00A57CA5" w:rsidP="00D945BD">
      <w:pPr>
        <w:pStyle w:val="Textodstavce"/>
        <w:rPr>
          <w:lang w:val="en-GB"/>
        </w:rPr>
      </w:pPr>
      <w:r w:rsidRPr="00DD61C0">
        <w:rPr>
          <w:lang w:val="en-GB"/>
        </w:rPr>
        <w:t xml:space="preserve">The Ministry of Justice </w:t>
      </w:r>
      <w:r w:rsidR="00AB317E" w:rsidRPr="00DD61C0">
        <w:rPr>
          <w:lang w:val="en-GB"/>
        </w:rPr>
        <w:t>has informed the public about the judgment</w:t>
      </w:r>
      <w:r w:rsidR="00444968" w:rsidRPr="00DD61C0">
        <w:rPr>
          <w:lang w:val="en-GB"/>
        </w:rPr>
        <w:t>s</w:t>
      </w:r>
      <w:r w:rsidR="00AB317E" w:rsidRPr="00DD61C0">
        <w:rPr>
          <w:lang w:val="en-GB"/>
        </w:rPr>
        <w:t xml:space="preserve"> immediately after </w:t>
      </w:r>
      <w:r w:rsidR="00C638F6" w:rsidRPr="00DD61C0">
        <w:rPr>
          <w:lang w:val="en-GB"/>
        </w:rPr>
        <w:t>their</w:t>
      </w:r>
      <w:r w:rsidR="00AB317E" w:rsidRPr="00DD61C0">
        <w:rPr>
          <w:lang w:val="en-GB"/>
        </w:rPr>
        <w:t xml:space="preserve"> delivery in the form of </w:t>
      </w:r>
      <w:r w:rsidR="00444968" w:rsidRPr="00DD61C0">
        <w:rPr>
          <w:lang w:val="en-GB"/>
        </w:rPr>
        <w:t>press releases (</w:t>
      </w:r>
      <w:hyperlink r:id="rId13" w:history="1">
        <w:r w:rsidR="00444968" w:rsidRPr="00DD61C0">
          <w:rPr>
            <w:rStyle w:val="Hypertextovodkaz"/>
            <w:lang w:val="en-GB"/>
          </w:rPr>
          <w:t>here</w:t>
        </w:r>
      </w:hyperlink>
      <w:r w:rsidR="00444968" w:rsidRPr="00DD61C0">
        <w:rPr>
          <w:lang w:val="en-GB"/>
        </w:rPr>
        <w:t xml:space="preserve"> and </w:t>
      </w:r>
      <w:hyperlink r:id="rId14" w:history="1">
        <w:r w:rsidR="00444968" w:rsidRPr="00DD61C0">
          <w:rPr>
            <w:rStyle w:val="Hypertextovodkaz"/>
            <w:lang w:val="en-GB"/>
          </w:rPr>
          <w:t>here</w:t>
        </w:r>
      </w:hyperlink>
      <w:r w:rsidR="00444968" w:rsidRPr="00DD61C0">
        <w:rPr>
          <w:lang w:val="en-GB"/>
        </w:rPr>
        <w:t>).</w:t>
      </w:r>
      <w:r w:rsidR="00D945BD" w:rsidRPr="00DD61C0">
        <w:rPr>
          <w:lang w:val="en-GB"/>
        </w:rPr>
        <w:t xml:space="preserve"> </w:t>
      </w:r>
      <w:r w:rsidR="00AB317E" w:rsidRPr="00DD61C0">
        <w:rPr>
          <w:lang w:val="en-GB"/>
        </w:rPr>
        <w:t xml:space="preserve">It </w:t>
      </w:r>
      <w:r w:rsidRPr="00DD61C0">
        <w:rPr>
          <w:lang w:val="en-GB"/>
        </w:rPr>
        <w:t xml:space="preserve">has </w:t>
      </w:r>
      <w:r w:rsidR="00AB317E" w:rsidRPr="00DD61C0">
        <w:rPr>
          <w:lang w:val="en-GB"/>
        </w:rPr>
        <w:t xml:space="preserve">further </w:t>
      </w:r>
      <w:r w:rsidRPr="00DD61C0">
        <w:rPr>
          <w:lang w:val="en-GB"/>
        </w:rPr>
        <w:t>published the</w:t>
      </w:r>
      <w:r w:rsidR="008A5E5E" w:rsidRPr="00DD61C0">
        <w:rPr>
          <w:lang w:val="en-GB"/>
        </w:rPr>
        <w:t xml:space="preserve"> Czech</w:t>
      </w:r>
      <w:r w:rsidRPr="00DD61C0">
        <w:rPr>
          <w:lang w:val="en-GB"/>
        </w:rPr>
        <w:t xml:space="preserve"> translation</w:t>
      </w:r>
      <w:r w:rsidR="00D945BD" w:rsidRPr="00DD61C0">
        <w:rPr>
          <w:lang w:val="en-GB"/>
        </w:rPr>
        <w:t>s</w:t>
      </w:r>
      <w:r w:rsidRPr="00DD61C0">
        <w:rPr>
          <w:lang w:val="en-GB"/>
        </w:rPr>
        <w:t xml:space="preserve"> of the judgment</w:t>
      </w:r>
      <w:r w:rsidR="00444968" w:rsidRPr="00DD61C0">
        <w:rPr>
          <w:lang w:val="en-GB"/>
        </w:rPr>
        <w:t>s</w:t>
      </w:r>
      <w:r w:rsidRPr="00DD61C0">
        <w:rPr>
          <w:lang w:val="en-GB"/>
        </w:rPr>
        <w:t xml:space="preserve"> </w:t>
      </w:r>
      <w:r w:rsidR="004600EC" w:rsidRPr="00DD61C0">
        <w:rPr>
          <w:lang w:val="en-GB"/>
        </w:rPr>
        <w:t xml:space="preserve">and </w:t>
      </w:r>
      <w:r w:rsidR="00D945BD" w:rsidRPr="00DD61C0">
        <w:rPr>
          <w:lang w:val="en-GB"/>
        </w:rPr>
        <w:t>their</w:t>
      </w:r>
      <w:r w:rsidR="004600EC" w:rsidRPr="00DD61C0">
        <w:rPr>
          <w:lang w:val="en-GB"/>
        </w:rPr>
        <w:t xml:space="preserve"> summar</w:t>
      </w:r>
      <w:r w:rsidR="00444968" w:rsidRPr="00DD61C0">
        <w:rPr>
          <w:lang w:val="en-GB"/>
        </w:rPr>
        <w:t xml:space="preserve">ies </w:t>
      </w:r>
      <w:r w:rsidRPr="00DD61C0">
        <w:rPr>
          <w:lang w:val="en-GB"/>
        </w:rPr>
        <w:t xml:space="preserve">in its online database of the </w:t>
      </w:r>
      <w:r w:rsidR="008A5E5E" w:rsidRPr="00DD61C0">
        <w:rPr>
          <w:lang w:val="en-GB"/>
        </w:rPr>
        <w:t xml:space="preserve">international human rights </w:t>
      </w:r>
      <w:r w:rsidRPr="00DD61C0">
        <w:rPr>
          <w:lang w:val="en-GB"/>
        </w:rPr>
        <w:t>case law (</w:t>
      </w:r>
      <w:hyperlink r:id="rId15" w:history="1">
        <w:r w:rsidR="00300776" w:rsidRPr="00DD61C0">
          <w:rPr>
            <w:rStyle w:val="Hypertextovodkaz"/>
            <w:lang w:val="en-GB"/>
          </w:rPr>
          <w:t>mezisoudy.cz</w:t>
        </w:r>
      </w:hyperlink>
      <w:r w:rsidRPr="00DD61C0">
        <w:rPr>
          <w:lang w:val="en-GB"/>
        </w:rPr>
        <w:t>)</w:t>
      </w:r>
      <w:r w:rsidR="00E1497F" w:rsidRPr="00DD61C0">
        <w:rPr>
          <w:rStyle w:val="Znakapoznpodarou"/>
          <w:lang w:val="en-GB"/>
        </w:rPr>
        <w:footnoteReference w:id="3"/>
      </w:r>
      <w:r w:rsidR="00B178F5" w:rsidRPr="00DD61C0">
        <w:rPr>
          <w:lang w:val="en-GB"/>
        </w:rPr>
        <w:t xml:space="preserve"> </w:t>
      </w:r>
      <w:r w:rsidRPr="00DD61C0">
        <w:rPr>
          <w:lang w:val="en-GB"/>
        </w:rPr>
        <w:t xml:space="preserve">and </w:t>
      </w:r>
      <w:r w:rsidR="004600EC" w:rsidRPr="00DD61C0">
        <w:rPr>
          <w:lang w:val="en-GB"/>
        </w:rPr>
        <w:t>the</w:t>
      </w:r>
      <w:r w:rsidRPr="00DD61C0">
        <w:rPr>
          <w:lang w:val="en-GB"/>
        </w:rPr>
        <w:t xml:space="preserve"> summar</w:t>
      </w:r>
      <w:r w:rsidR="00444968" w:rsidRPr="00DD61C0">
        <w:rPr>
          <w:lang w:val="en-GB"/>
        </w:rPr>
        <w:t>ies</w:t>
      </w:r>
      <w:r w:rsidRPr="00DD61C0">
        <w:rPr>
          <w:lang w:val="en-GB"/>
        </w:rPr>
        <w:t xml:space="preserve"> </w:t>
      </w:r>
      <w:r w:rsidR="004600EC" w:rsidRPr="00DD61C0">
        <w:rPr>
          <w:lang w:val="en-GB"/>
        </w:rPr>
        <w:t xml:space="preserve">also </w:t>
      </w:r>
      <w:r w:rsidRPr="00DD61C0">
        <w:rPr>
          <w:lang w:val="en-GB"/>
        </w:rPr>
        <w:t xml:space="preserve">in the Government Agent’s </w:t>
      </w:r>
      <w:r w:rsidRPr="00DD61C0">
        <w:rPr>
          <w:lang w:val="en-GB"/>
        </w:rPr>
        <w:lastRenderedPageBreak/>
        <w:t>Newsletter</w:t>
      </w:r>
      <w:r w:rsidR="002C74F9" w:rsidRPr="00DD61C0">
        <w:rPr>
          <w:lang w:val="en-GB"/>
        </w:rPr>
        <w:t xml:space="preserve"> </w:t>
      </w:r>
      <w:r w:rsidR="00E61812" w:rsidRPr="00DD61C0">
        <w:rPr>
          <w:lang w:val="en-GB"/>
        </w:rPr>
        <w:t>n</w:t>
      </w:r>
      <w:r w:rsidR="002C74F9" w:rsidRPr="00DD61C0">
        <w:rPr>
          <w:lang w:val="en-GB"/>
        </w:rPr>
        <w:t>o</w:t>
      </w:r>
      <w:r w:rsidR="00D945BD" w:rsidRPr="00DD61C0">
        <w:rPr>
          <w:lang w:val="en-GB"/>
        </w:rPr>
        <w:t>s</w:t>
      </w:r>
      <w:r w:rsidR="002C74F9" w:rsidRPr="00DD61C0">
        <w:rPr>
          <w:lang w:val="en-GB"/>
        </w:rPr>
        <w:t xml:space="preserve">. </w:t>
      </w:r>
      <w:r w:rsidR="004600EC" w:rsidRPr="00DD61C0">
        <w:rPr>
          <w:lang w:val="en-GB"/>
        </w:rPr>
        <w:t>4</w:t>
      </w:r>
      <w:r w:rsidR="002C74F9" w:rsidRPr="00DD61C0">
        <w:rPr>
          <w:lang w:val="en-GB"/>
        </w:rPr>
        <w:t>/202</w:t>
      </w:r>
      <w:r w:rsidR="008A5E5E" w:rsidRPr="00DD61C0">
        <w:rPr>
          <w:lang w:val="en-GB"/>
        </w:rPr>
        <w:t>4</w:t>
      </w:r>
      <w:r w:rsidR="00444968" w:rsidRPr="00DD61C0">
        <w:rPr>
          <w:lang w:val="en-GB"/>
        </w:rPr>
        <w:t xml:space="preserve"> and</w:t>
      </w:r>
      <w:r w:rsidR="00D945BD" w:rsidRPr="00DD61C0">
        <w:rPr>
          <w:lang w:val="en-GB"/>
        </w:rPr>
        <w:t xml:space="preserve"> 2/2025</w:t>
      </w:r>
      <w:r w:rsidR="002C74F9" w:rsidRPr="00DD61C0">
        <w:rPr>
          <w:lang w:val="en-GB"/>
        </w:rPr>
        <w:t xml:space="preserve"> (</w:t>
      </w:r>
      <w:proofErr w:type="spellStart"/>
      <w:r w:rsidR="007E4E45" w:rsidRPr="00DD61C0">
        <w:fldChar w:fldCharType="begin"/>
      </w:r>
      <w:r w:rsidR="007E4E45" w:rsidRPr="00DD61C0">
        <w:instrText xml:space="preserve"> HYPERLINK "https://mezisoudy.cz/zpravodaj-kvz" </w:instrText>
      </w:r>
      <w:r w:rsidR="007E4E45" w:rsidRPr="00DD61C0">
        <w:fldChar w:fldCharType="separate"/>
      </w:r>
      <w:r w:rsidR="008A5E5E" w:rsidRPr="00DD61C0">
        <w:rPr>
          <w:rStyle w:val="Hypertextovodkaz"/>
          <w:lang w:val="en-GB"/>
        </w:rPr>
        <w:t>Zpr</w:t>
      </w:r>
      <w:r w:rsidR="00300776" w:rsidRPr="00DD61C0">
        <w:rPr>
          <w:rStyle w:val="Hypertextovodkaz"/>
          <w:lang w:val="en-GB"/>
        </w:rPr>
        <w:t>a</w:t>
      </w:r>
      <w:r w:rsidR="008A5E5E" w:rsidRPr="00DD61C0">
        <w:rPr>
          <w:rStyle w:val="Hypertextovodkaz"/>
          <w:lang w:val="en-GB"/>
        </w:rPr>
        <w:t>vodaj</w:t>
      </w:r>
      <w:proofErr w:type="spellEnd"/>
      <w:r w:rsidR="008A5E5E" w:rsidRPr="00DD61C0">
        <w:rPr>
          <w:rStyle w:val="Hypertextovodkaz"/>
          <w:lang w:val="en-GB"/>
        </w:rPr>
        <w:t xml:space="preserve"> KVZ)</w:t>
      </w:r>
      <w:r w:rsidR="007E4E45" w:rsidRPr="00DD61C0">
        <w:rPr>
          <w:rStyle w:val="Hypertextovodkaz"/>
          <w:lang w:val="en-GB"/>
        </w:rPr>
        <w:fldChar w:fldCharType="end"/>
      </w:r>
      <w:r w:rsidR="008A5E5E" w:rsidRPr="00DD61C0">
        <w:rPr>
          <w:lang w:val="en-GB"/>
        </w:rPr>
        <w:t xml:space="preserve">. </w:t>
      </w:r>
      <w:hyperlink r:id="rId16" w:history="1"/>
      <w:r w:rsidR="0092593D" w:rsidRPr="00DD61C0">
        <w:rPr>
          <w:lang w:val="en-GB"/>
        </w:rPr>
        <w:t>In addition</w:t>
      </w:r>
      <w:r w:rsidR="00571000" w:rsidRPr="00DD61C0">
        <w:rPr>
          <w:lang w:val="en-GB"/>
        </w:rPr>
        <w:t xml:space="preserve">, </w:t>
      </w:r>
      <w:r w:rsidR="00FA478A" w:rsidRPr="00DD61C0">
        <w:rPr>
          <w:lang w:val="en-GB"/>
        </w:rPr>
        <w:t xml:space="preserve">both </w:t>
      </w:r>
      <w:r w:rsidR="00E61812" w:rsidRPr="00DD61C0">
        <w:rPr>
          <w:lang w:val="en-GB"/>
        </w:rPr>
        <w:t xml:space="preserve">the </w:t>
      </w:r>
      <w:r w:rsidR="00571000" w:rsidRPr="00DD61C0">
        <w:rPr>
          <w:lang w:val="en-GB"/>
        </w:rPr>
        <w:t>t</w:t>
      </w:r>
      <w:r w:rsidRPr="00DD61C0">
        <w:rPr>
          <w:lang w:val="en-GB"/>
        </w:rPr>
        <w:t>ranslation</w:t>
      </w:r>
      <w:r w:rsidR="00444968" w:rsidRPr="00DD61C0">
        <w:rPr>
          <w:lang w:val="en-GB"/>
        </w:rPr>
        <w:t>s</w:t>
      </w:r>
      <w:r w:rsidRPr="00DD61C0">
        <w:rPr>
          <w:lang w:val="en-GB"/>
        </w:rPr>
        <w:t xml:space="preserve"> of the judgment</w:t>
      </w:r>
      <w:r w:rsidR="00444968" w:rsidRPr="00DD61C0">
        <w:rPr>
          <w:lang w:val="en-GB"/>
        </w:rPr>
        <w:t>s</w:t>
      </w:r>
      <w:r w:rsidRPr="00DD61C0">
        <w:rPr>
          <w:lang w:val="en-GB"/>
        </w:rPr>
        <w:t xml:space="preserve"> and </w:t>
      </w:r>
      <w:r w:rsidR="00D945BD" w:rsidRPr="00DD61C0">
        <w:rPr>
          <w:lang w:val="en-GB"/>
        </w:rPr>
        <w:t>their</w:t>
      </w:r>
      <w:r w:rsidR="008A5E5E" w:rsidRPr="00DD61C0">
        <w:rPr>
          <w:lang w:val="en-GB"/>
        </w:rPr>
        <w:t xml:space="preserve"> </w:t>
      </w:r>
      <w:r w:rsidR="000805F7" w:rsidRPr="00DD61C0">
        <w:rPr>
          <w:lang w:val="en-GB"/>
        </w:rPr>
        <w:t>summar</w:t>
      </w:r>
      <w:r w:rsidR="00444968" w:rsidRPr="00DD61C0">
        <w:rPr>
          <w:lang w:val="en-GB"/>
        </w:rPr>
        <w:t>ies</w:t>
      </w:r>
      <w:r w:rsidRPr="00DD61C0">
        <w:rPr>
          <w:lang w:val="en-GB"/>
        </w:rPr>
        <w:t xml:space="preserve"> have been sent to </w:t>
      </w:r>
      <w:r w:rsidR="006A2BA3" w:rsidRPr="00DD61C0">
        <w:rPr>
          <w:lang w:val="en-GB"/>
        </w:rPr>
        <w:t xml:space="preserve">all </w:t>
      </w:r>
      <w:r w:rsidRPr="00DD61C0">
        <w:rPr>
          <w:lang w:val="en-GB"/>
        </w:rPr>
        <w:t xml:space="preserve">the </w:t>
      </w:r>
      <w:r w:rsidR="006A2BA3" w:rsidRPr="00DD61C0">
        <w:rPr>
          <w:lang w:val="en-GB"/>
        </w:rPr>
        <w:t>public</w:t>
      </w:r>
      <w:r w:rsidRPr="00DD61C0">
        <w:rPr>
          <w:lang w:val="en-GB"/>
        </w:rPr>
        <w:t xml:space="preserve"> authorities involved in the</w:t>
      </w:r>
      <w:r w:rsidR="00444968" w:rsidRPr="00DD61C0">
        <w:rPr>
          <w:lang w:val="en-GB"/>
        </w:rPr>
        <w:t>se</w:t>
      </w:r>
      <w:r w:rsidRPr="00DD61C0">
        <w:rPr>
          <w:lang w:val="en-GB"/>
        </w:rPr>
        <w:t xml:space="preserve"> case</w:t>
      </w:r>
      <w:r w:rsidR="00444968" w:rsidRPr="00DD61C0">
        <w:rPr>
          <w:lang w:val="en-GB"/>
        </w:rPr>
        <w:t>s</w:t>
      </w:r>
      <w:r w:rsidR="00E15047" w:rsidRPr="00DD61C0">
        <w:rPr>
          <w:lang w:val="en-GB"/>
        </w:rPr>
        <w:t>.</w:t>
      </w:r>
    </w:p>
    <w:p w14:paraId="74E456E9" w14:textId="16B53C22" w:rsidR="007B2C21" w:rsidRPr="00DD61C0" w:rsidRDefault="000805F7" w:rsidP="0092593D">
      <w:pPr>
        <w:pStyle w:val="Textodstavce"/>
        <w:rPr>
          <w:lang w:val="en-GB"/>
        </w:rPr>
      </w:pPr>
      <w:r w:rsidRPr="00DD61C0">
        <w:rPr>
          <w:lang w:val="en-GB"/>
        </w:rPr>
        <w:t>After the delivery of the judgment</w:t>
      </w:r>
      <w:r w:rsidR="00D945BD" w:rsidRPr="00DD61C0">
        <w:rPr>
          <w:lang w:val="en-GB"/>
        </w:rPr>
        <w:t>s</w:t>
      </w:r>
      <w:r w:rsidRPr="00DD61C0">
        <w:rPr>
          <w:lang w:val="en-GB"/>
        </w:rPr>
        <w:t xml:space="preserve">, </w:t>
      </w:r>
      <w:r w:rsidR="0092593D" w:rsidRPr="00DD61C0">
        <w:rPr>
          <w:lang w:val="en-GB"/>
        </w:rPr>
        <w:t xml:space="preserve">the </w:t>
      </w:r>
      <w:r w:rsidR="00CC7591" w:rsidRPr="00DD61C0">
        <w:rPr>
          <w:lang w:val="en-GB"/>
        </w:rPr>
        <w:t xml:space="preserve">Prosecutor General’s Office </w:t>
      </w:r>
      <w:r w:rsidR="00C256E7" w:rsidRPr="00DD61C0">
        <w:rPr>
          <w:lang w:val="en-GB"/>
        </w:rPr>
        <w:t>inserted</w:t>
      </w:r>
      <w:r w:rsidR="007B2C21" w:rsidRPr="00DD61C0">
        <w:rPr>
          <w:lang w:val="en-GB"/>
        </w:rPr>
        <w:t xml:space="preserve"> </w:t>
      </w:r>
      <w:r w:rsidR="00CC7591" w:rsidRPr="00DD61C0">
        <w:rPr>
          <w:lang w:val="en-GB"/>
        </w:rPr>
        <w:t>the Czech translation</w:t>
      </w:r>
      <w:r w:rsidR="00D945BD" w:rsidRPr="00DD61C0">
        <w:rPr>
          <w:lang w:val="en-GB"/>
        </w:rPr>
        <w:t>s</w:t>
      </w:r>
      <w:r w:rsidR="00CC7591" w:rsidRPr="00DD61C0">
        <w:rPr>
          <w:lang w:val="en-GB"/>
        </w:rPr>
        <w:t xml:space="preserve"> of the judgment</w:t>
      </w:r>
      <w:r w:rsidR="00D945BD" w:rsidRPr="00DD61C0">
        <w:rPr>
          <w:lang w:val="en-GB"/>
        </w:rPr>
        <w:t>s</w:t>
      </w:r>
      <w:r w:rsidR="00CC7591" w:rsidRPr="00DD61C0">
        <w:rPr>
          <w:lang w:val="en-GB"/>
        </w:rPr>
        <w:t xml:space="preserve"> and </w:t>
      </w:r>
      <w:r w:rsidR="00D945BD" w:rsidRPr="00DD61C0">
        <w:rPr>
          <w:lang w:val="en-GB"/>
        </w:rPr>
        <w:t>their</w:t>
      </w:r>
      <w:r w:rsidR="00CC7591" w:rsidRPr="00DD61C0">
        <w:rPr>
          <w:lang w:val="en-GB"/>
        </w:rPr>
        <w:t xml:space="preserve"> summar</w:t>
      </w:r>
      <w:r w:rsidR="00D945BD" w:rsidRPr="00DD61C0">
        <w:rPr>
          <w:lang w:val="en-GB"/>
        </w:rPr>
        <w:t>ies</w:t>
      </w:r>
      <w:r w:rsidR="00CC7591" w:rsidRPr="00DD61C0">
        <w:rPr>
          <w:lang w:val="en-GB"/>
        </w:rPr>
        <w:t xml:space="preserve"> int</w:t>
      </w:r>
      <w:r w:rsidR="00D945BD" w:rsidRPr="00DD61C0">
        <w:rPr>
          <w:lang w:val="en-GB"/>
        </w:rPr>
        <w:t>o</w:t>
      </w:r>
      <w:r w:rsidR="00CC7591" w:rsidRPr="00DD61C0">
        <w:rPr>
          <w:lang w:val="en-GB"/>
        </w:rPr>
        <w:t xml:space="preserve"> its internal database and informed about </w:t>
      </w:r>
      <w:r w:rsidR="007B2C21" w:rsidRPr="00DD61C0">
        <w:rPr>
          <w:lang w:val="en-GB"/>
        </w:rPr>
        <w:t>the judgment</w:t>
      </w:r>
      <w:r w:rsidR="00D945BD" w:rsidRPr="00DD61C0">
        <w:rPr>
          <w:lang w:val="en-GB"/>
        </w:rPr>
        <w:t>s</w:t>
      </w:r>
      <w:r w:rsidR="00CC7591" w:rsidRPr="00DD61C0">
        <w:rPr>
          <w:lang w:val="en-GB"/>
        </w:rPr>
        <w:t xml:space="preserve"> in the newsletter</w:t>
      </w:r>
      <w:r w:rsidR="00C638F6" w:rsidRPr="00DD61C0">
        <w:rPr>
          <w:lang w:val="en-GB"/>
        </w:rPr>
        <w:t>s</w:t>
      </w:r>
      <w:r w:rsidR="00CC7591" w:rsidRPr="00DD61C0">
        <w:rPr>
          <w:lang w:val="en-GB"/>
        </w:rPr>
        <w:t xml:space="preserve"> distributed to all Czech prosecutors. </w:t>
      </w:r>
    </w:p>
    <w:p w14:paraId="232A63FE" w14:textId="1510A0F9" w:rsidR="00CC7591" w:rsidRPr="00DD61C0" w:rsidRDefault="00CC7591" w:rsidP="0092593D">
      <w:pPr>
        <w:pStyle w:val="Textodstavce"/>
        <w:rPr>
          <w:lang w:val="en-GB"/>
        </w:rPr>
      </w:pPr>
      <w:r w:rsidRPr="00DD61C0">
        <w:rPr>
          <w:lang w:val="en-GB"/>
        </w:rPr>
        <w:t>The Supreme Court transmitted the judgment</w:t>
      </w:r>
      <w:r w:rsidR="00D945BD" w:rsidRPr="00DD61C0">
        <w:rPr>
          <w:lang w:val="en-GB"/>
        </w:rPr>
        <w:t>s</w:t>
      </w:r>
      <w:r w:rsidRPr="00DD61C0">
        <w:rPr>
          <w:lang w:val="en-GB"/>
        </w:rPr>
        <w:t xml:space="preserve"> to the criminal divisions of all regional courts.</w:t>
      </w:r>
    </w:p>
    <w:p w14:paraId="4DD8A7C6" w14:textId="107FF47E" w:rsidR="00CA0A7C" w:rsidRPr="00DD61C0" w:rsidRDefault="0092593D" w:rsidP="00CA0A7C">
      <w:pPr>
        <w:pStyle w:val="Textodstavce"/>
        <w:rPr>
          <w:lang w:val="en-GB"/>
        </w:rPr>
      </w:pPr>
      <w:r w:rsidRPr="00DD61C0">
        <w:rPr>
          <w:lang w:val="en-GB"/>
        </w:rPr>
        <w:t xml:space="preserve">The execution of the judgment </w:t>
      </w:r>
      <w:r w:rsidR="00444968" w:rsidRPr="00DD61C0">
        <w:rPr>
          <w:lang w:val="en-GB"/>
        </w:rPr>
        <w:t xml:space="preserve">in the case of </w:t>
      </w:r>
      <w:r w:rsidR="00444968" w:rsidRPr="00DD61C0">
        <w:rPr>
          <w:i/>
          <w:iCs/>
          <w:lang w:val="en-GB"/>
        </w:rPr>
        <w:t>Z v. the Czech Republic</w:t>
      </w:r>
      <w:r w:rsidR="00444968" w:rsidRPr="00DD61C0">
        <w:rPr>
          <w:lang w:val="en-GB"/>
        </w:rPr>
        <w:t xml:space="preserve"> </w:t>
      </w:r>
      <w:r w:rsidRPr="00DD61C0">
        <w:rPr>
          <w:lang w:val="en-GB"/>
        </w:rPr>
        <w:t>was further discussed at the 1</w:t>
      </w:r>
      <w:r w:rsidR="004600EC" w:rsidRPr="00DD61C0">
        <w:rPr>
          <w:lang w:val="en-GB"/>
        </w:rPr>
        <w:t>1</w:t>
      </w:r>
      <w:r w:rsidRPr="00DD61C0">
        <w:rPr>
          <w:vertAlign w:val="superscript"/>
          <w:lang w:val="en-GB"/>
        </w:rPr>
        <w:t>th</w:t>
      </w:r>
      <w:r w:rsidRPr="00DD61C0">
        <w:rPr>
          <w:lang w:val="en-GB"/>
        </w:rPr>
        <w:t xml:space="preserve"> meeting of the Committee of Experts for the Execution of Judgments of the Court and the Implementation of the Convention</w:t>
      </w:r>
      <w:r w:rsidRPr="00DD61C0">
        <w:rPr>
          <w:rStyle w:val="Znakapoznpodarou"/>
          <w:lang w:val="en-GB"/>
        </w:rPr>
        <w:footnoteReference w:id="4"/>
      </w:r>
      <w:r w:rsidRPr="00DD61C0">
        <w:rPr>
          <w:lang w:val="en-GB"/>
        </w:rPr>
        <w:t xml:space="preserve"> held on </w:t>
      </w:r>
      <w:r w:rsidR="004600EC" w:rsidRPr="00DD61C0">
        <w:rPr>
          <w:lang w:val="en-GB"/>
        </w:rPr>
        <w:t>11</w:t>
      </w:r>
      <w:r w:rsidRPr="00DD61C0">
        <w:rPr>
          <w:lang w:val="en-GB"/>
        </w:rPr>
        <w:t xml:space="preserve"> </w:t>
      </w:r>
      <w:r w:rsidR="004600EC" w:rsidRPr="00DD61C0">
        <w:rPr>
          <w:lang w:val="en-GB"/>
        </w:rPr>
        <w:t>December</w:t>
      </w:r>
      <w:r w:rsidRPr="00DD61C0">
        <w:rPr>
          <w:lang w:val="en-GB"/>
        </w:rPr>
        <w:t xml:space="preserve"> 2024</w:t>
      </w:r>
      <w:r w:rsidR="006628F3" w:rsidRPr="00DD61C0">
        <w:rPr>
          <w:lang w:val="en-GB"/>
        </w:rPr>
        <w:t xml:space="preserve"> (</w:t>
      </w:r>
      <w:r w:rsidR="00D96C82" w:rsidRPr="00DD61C0">
        <w:rPr>
          <w:lang w:val="en-GB"/>
        </w:rPr>
        <w:t xml:space="preserve">the </w:t>
      </w:r>
      <w:r w:rsidR="00A57910" w:rsidRPr="00DD61C0">
        <w:rPr>
          <w:lang w:val="en-GB"/>
        </w:rPr>
        <w:t xml:space="preserve">background </w:t>
      </w:r>
      <w:r w:rsidR="00D96C82" w:rsidRPr="00DD61C0">
        <w:rPr>
          <w:lang w:val="en-GB"/>
        </w:rPr>
        <w:t xml:space="preserve">materials for this meeting, as well as the summary of the debates, are available </w:t>
      </w:r>
      <w:hyperlink r:id="rId17" w:history="1">
        <w:r w:rsidR="00D96C82" w:rsidRPr="00DD61C0">
          <w:rPr>
            <w:rStyle w:val="Hypertextovodkaz"/>
            <w:lang w:val="en-GB"/>
          </w:rPr>
          <w:t>online</w:t>
        </w:r>
      </w:hyperlink>
      <w:r w:rsidR="00D96C82" w:rsidRPr="00DD61C0">
        <w:rPr>
          <w:lang w:val="en-GB"/>
        </w:rPr>
        <w:t>). At the 12</w:t>
      </w:r>
      <w:r w:rsidR="00D96C82" w:rsidRPr="00DD61C0">
        <w:rPr>
          <w:vertAlign w:val="superscript"/>
          <w:lang w:val="en-GB"/>
        </w:rPr>
        <w:t>th</w:t>
      </w:r>
      <w:r w:rsidR="00D96C82" w:rsidRPr="00DD61C0">
        <w:rPr>
          <w:lang w:val="en-GB"/>
        </w:rPr>
        <w:t xml:space="preserve"> meeting of the Committee of Experts, which took place on 15 May 2025, the</w:t>
      </w:r>
      <w:r w:rsidR="00B14E86" w:rsidRPr="00DD61C0">
        <w:rPr>
          <w:lang w:val="en-GB"/>
        </w:rPr>
        <w:t xml:space="preserve"> case of </w:t>
      </w:r>
      <w:r w:rsidR="00B14E86" w:rsidRPr="00DD61C0">
        <w:rPr>
          <w:i/>
          <w:iCs/>
          <w:lang w:val="en-GB"/>
        </w:rPr>
        <w:t xml:space="preserve">Y v. the Czech Republic </w:t>
      </w:r>
      <w:r w:rsidR="00B14E86" w:rsidRPr="00DD61C0">
        <w:rPr>
          <w:lang w:val="en-GB"/>
        </w:rPr>
        <w:t xml:space="preserve">was covered via the </w:t>
      </w:r>
      <w:r w:rsidR="00A57910" w:rsidRPr="00DD61C0">
        <w:rPr>
          <w:lang w:val="en-GB"/>
        </w:rPr>
        <w:t xml:space="preserve">background </w:t>
      </w:r>
      <w:r w:rsidR="00B14E86" w:rsidRPr="00DD61C0">
        <w:rPr>
          <w:lang w:val="en-GB"/>
        </w:rPr>
        <w:t xml:space="preserve">materials, also available </w:t>
      </w:r>
      <w:hyperlink r:id="rId18" w:history="1">
        <w:r w:rsidR="00B14E86" w:rsidRPr="00DD61C0">
          <w:rPr>
            <w:rStyle w:val="Hypertextovodkaz"/>
            <w:lang w:val="en-GB"/>
          </w:rPr>
          <w:t>online</w:t>
        </w:r>
      </w:hyperlink>
      <w:r w:rsidR="00B14E86" w:rsidRPr="00DD61C0">
        <w:rPr>
          <w:lang w:val="en-GB"/>
        </w:rPr>
        <w:t xml:space="preserve">; due to its similarity with the case of </w:t>
      </w:r>
      <w:r w:rsidR="00B14E86" w:rsidRPr="00DD61C0">
        <w:rPr>
          <w:i/>
          <w:iCs/>
          <w:lang w:val="en-GB"/>
        </w:rPr>
        <w:t>Z v. the Czech Republic</w:t>
      </w:r>
      <w:r w:rsidR="00B14E86" w:rsidRPr="00DD61C0">
        <w:rPr>
          <w:lang w:val="en-GB"/>
        </w:rPr>
        <w:t>, it was not included in the oral debates.</w:t>
      </w:r>
      <w:r w:rsidR="00CA0A7C" w:rsidRPr="00DD61C0">
        <w:rPr>
          <w:lang w:val="en-GB"/>
        </w:rPr>
        <w:t xml:space="preserve"> At the 13</w:t>
      </w:r>
      <w:r w:rsidR="00CA0A7C" w:rsidRPr="00DD61C0">
        <w:rPr>
          <w:vertAlign w:val="superscript"/>
          <w:lang w:val="en-GB"/>
        </w:rPr>
        <w:t xml:space="preserve">th </w:t>
      </w:r>
      <w:r w:rsidR="00CA0A7C" w:rsidRPr="00DD61C0">
        <w:rPr>
          <w:lang w:val="en-GB"/>
        </w:rPr>
        <w:t xml:space="preserve">meeting which took place on 29 April 2026, both cases were again considered only through a written procedure. None of the </w:t>
      </w:r>
      <w:r w:rsidR="008D3821" w:rsidRPr="00DD61C0">
        <w:rPr>
          <w:lang w:val="en-GB"/>
        </w:rPr>
        <w:t xml:space="preserve">members of the Committee </w:t>
      </w:r>
      <w:r w:rsidR="00CA0A7C" w:rsidRPr="00DD61C0">
        <w:rPr>
          <w:lang w:val="en-GB"/>
        </w:rPr>
        <w:t xml:space="preserve">raised any written or oral comments regarding the </w:t>
      </w:r>
      <w:hyperlink r:id="rId19" w:history="1">
        <w:r w:rsidR="00CA0A7C" w:rsidRPr="00DD61C0">
          <w:rPr>
            <w:rStyle w:val="Hypertextovodkaz"/>
            <w:lang w:val="en-GB"/>
          </w:rPr>
          <w:t>background material</w:t>
        </w:r>
      </w:hyperlink>
      <w:r w:rsidR="00CA0A7C" w:rsidRPr="00DD61C0">
        <w:rPr>
          <w:lang w:val="en-GB"/>
        </w:rPr>
        <w:t>.</w:t>
      </w:r>
    </w:p>
    <w:p w14:paraId="3A9A96D7" w14:textId="2578DE77" w:rsidR="00C145DE" w:rsidRPr="00DD61C0" w:rsidRDefault="00C145DE" w:rsidP="00B14E86">
      <w:pPr>
        <w:pStyle w:val="Textodstavce"/>
        <w:rPr>
          <w:lang w:val="en-GB"/>
        </w:rPr>
      </w:pPr>
      <w:r w:rsidRPr="00DD61C0">
        <w:rPr>
          <w:lang w:val="en-GB"/>
        </w:rPr>
        <w:t>In August 202</w:t>
      </w:r>
      <w:r w:rsidR="00AF70E9" w:rsidRPr="00DD61C0">
        <w:rPr>
          <w:lang w:val="en-GB"/>
        </w:rPr>
        <w:t>5</w:t>
      </w:r>
      <w:r w:rsidRPr="00DD61C0">
        <w:rPr>
          <w:lang w:val="en-GB"/>
        </w:rPr>
        <w:t xml:space="preserve">, </w:t>
      </w:r>
      <w:r w:rsidR="00AF70E9" w:rsidRPr="00DD61C0">
        <w:rPr>
          <w:lang w:val="en-GB"/>
        </w:rPr>
        <w:t>an</w:t>
      </w:r>
      <w:r w:rsidRPr="00DD61C0">
        <w:rPr>
          <w:lang w:val="en-GB"/>
        </w:rPr>
        <w:t xml:space="preserve"> analysis of both judgments was published in the </w:t>
      </w:r>
      <w:hyperlink r:id="rId20" w:history="1">
        <w:r w:rsidR="00D151AD" w:rsidRPr="00DD61C0">
          <w:rPr>
            <w:rStyle w:val="Hypertextovodkaz"/>
            <w:lang w:val="en-GB"/>
          </w:rPr>
          <w:t>editorial</w:t>
        </w:r>
      </w:hyperlink>
      <w:r w:rsidRPr="00DD61C0">
        <w:rPr>
          <w:lang w:val="en-GB"/>
        </w:rPr>
        <w:t xml:space="preserve"> </w:t>
      </w:r>
      <w:r w:rsidR="00D151AD" w:rsidRPr="00DD61C0">
        <w:rPr>
          <w:lang w:val="en-GB"/>
        </w:rPr>
        <w:t>of</w:t>
      </w:r>
      <w:r w:rsidRPr="00DD61C0">
        <w:rPr>
          <w:lang w:val="en-GB"/>
        </w:rPr>
        <w:t xml:space="preserve"> the quarterly magazine </w:t>
      </w:r>
      <w:r w:rsidRPr="00DD61C0">
        <w:rPr>
          <w:i/>
          <w:iCs/>
          <w:lang w:val="en-GB"/>
        </w:rPr>
        <w:t>Selection of the judgments of the European Court of Human Rights for judicial practice</w:t>
      </w:r>
      <w:r w:rsidRPr="00DD61C0">
        <w:rPr>
          <w:lang w:val="en-GB"/>
        </w:rPr>
        <w:t xml:space="preserve">, No. 3/2025, </w:t>
      </w:r>
      <w:r w:rsidR="007301AC" w:rsidRPr="00DD61C0">
        <w:rPr>
          <w:lang w:val="en-GB"/>
        </w:rPr>
        <w:t>issue</w:t>
      </w:r>
      <w:r w:rsidRPr="00DD61C0">
        <w:rPr>
          <w:lang w:val="en-GB"/>
        </w:rPr>
        <w:t>d by the Supreme Court of the Czech Republic in cooperation with the Government Agent’s Office.</w:t>
      </w:r>
    </w:p>
    <w:p w14:paraId="2463AFCE" w14:textId="611FD568" w:rsidR="005F0FB6" w:rsidRPr="00DD61C0" w:rsidRDefault="00C73CFE" w:rsidP="00242A3B">
      <w:pPr>
        <w:pStyle w:val="Nadpispodsti"/>
        <w:spacing w:before="300"/>
        <w:rPr>
          <w:i/>
          <w:iCs/>
          <w:u w:val="none"/>
          <w:lang w:val="en-GB"/>
        </w:rPr>
      </w:pPr>
      <w:r w:rsidRPr="00DD61C0">
        <w:rPr>
          <w:i/>
          <w:iCs/>
          <w:u w:val="none"/>
          <w:lang w:val="en-GB"/>
        </w:rPr>
        <w:t>B</w:t>
      </w:r>
      <w:r w:rsidR="00AC3A5E" w:rsidRPr="00DD61C0">
        <w:rPr>
          <w:i/>
          <w:iCs/>
          <w:u w:val="none"/>
          <w:lang w:val="en-GB"/>
        </w:rPr>
        <w:t xml:space="preserve">. </w:t>
      </w:r>
      <w:r w:rsidR="005F0FB6" w:rsidRPr="00DD61C0">
        <w:rPr>
          <w:i/>
          <w:iCs/>
          <w:u w:val="none"/>
          <w:lang w:val="en-GB"/>
        </w:rPr>
        <w:t xml:space="preserve">Measures </w:t>
      </w:r>
      <w:r w:rsidR="00CC7591" w:rsidRPr="00DD61C0">
        <w:rPr>
          <w:i/>
          <w:iCs/>
          <w:u w:val="none"/>
          <w:lang w:val="en-GB"/>
        </w:rPr>
        <w:t>required in czech legal order</w:t>
      </w:r>
    </w:p>
    <w:p w14:paraId="0B9EBFC8" w14:textId="4A1B8651" w:rsidR="00AB2F7F" w:rsidRPr="00DD61C0" w:rsidRDefault="00CC7591" w:rsidP="00AB2F7F">
      <w:pPr>
        <w:pStyle w:val="Textodstavce"/>
        <w:rPr>
          <w:lang w:val="en-GB"/>
        </w:rPr>
      </w:pPr>
      <w:r w:rsidRPr="00DD61C0">
        <w:rPr>
          <w:lang w:val="en-GB"/>
        </w:rPr>
        <w:t>It follows from the written consultations carried out by the Government Agent’s Office with all the relevant public bodies</w:t>
      </w:r>
      <w:r w:rsidR="007B2C21" w:rsidRPr="00DD61C0">
        <w:rPr>
          <w:lang w:val="en-GB"/>
        </w:rPr>
        <w:t>, as well as from the above-mentioned meeting</w:t>
      </w:r>
      <w:r w:rsidR="003534BB" w:rsidRPr="00DD61C0">
        <w:rPr>
          <w:lang w:val="en-GB"/>
        </w:rPr>
        <w:t>s</w:t>
      </w:r>
      <w:r w:rsidR="007B2C21" w:rsidRPr="00DD61C0">
        <w:rPr>
          <w:lang w:val="en-GB"/>
        </w:rPr>
        <w:t xml:space="preserve"> of the Committee of Experts,</w:t>
      </w:r>
      <w:r w:rsidRPr="00DD61C0">
        <w:rPr>
          <w:lang w:val="en-GB"/>
        </w:rPr>
        <w:t xml:space="preserve"> that </w:t>
      </w:r>
      <w:bookmarkStart w:id="1" w:name="_Hlk208506663"/>
      <w:proofErr w:type="gramStart"/>
      <w:r w:rsidRPr="00DD61C0">
        <w:rPr>
          <w:lang w:val="en-GB"/>
        </w:rPr>
        <w:t>in order to</w:t>
      </w:r>
      <w:proofErr w:type="gramEnd"/>
      <w:r w:rsidRPr="00DD61C0">
        <w:rPr>
          <w:lang w:val="en-GB"/>
        </w:rPr>
        <w:t xml:space="preserve"> implement the judgment</w:t>
      </w:r>
      <w:r w:rsidR="00D945BD" w:rsidRPr="00DD61C0">
        <w:rPr>
          <w:lang w:val="en-GB"/>
        </w:rPr>
        <w:t>s</w:t>
      </w:r>
      <w:r w:rsidRPr="00DD61C0">
        <w:rPr>
          <w:lang w:val="en-GB"/>
        </w:rPr>
        <w:t xml:space="preserve">, </w:t>
      </w:r>
      <w:r w:rsidR="00AB2F7F" w:rsidRPr="00DD61C0">
        <w:rPr>
          <w:lang w:val="en-GB"/>
        </w:rPr>
        <w:t xml:space="preserve">it is </w:t>
      </w:r>
      <w:r w:rsidR="00AB2F7F" w:rsidRPr="00DD61C0">
        <w:rPr>
          <w:b/>
          <w:bCs/>
          <w:lang w:val="en-GB"/>
        </w:rPr>
        <w:t xml:space="preserve">not necessary to amend the existing </w:t>
      </w:r>
      <w:r w:rsidR="007B2C21" w:rsidRPr="00DD61C0">
        <w:rPr>
          <w:b/>
          <w:bCs/>
          <w:lang w:val="en-GB"/>
        </w:rPr>
        <w:t xml:space="preserve">Czech </w:t>
      </w:r>
      <w:r w:rsidR="00AB2F7F" w:rsidRPr="00DD61C0">
        <w:rPr>
          <w:b/>
          <w:bCs/>
          <w:lang w:val="en-GB"/>
        </w:rPr>
        <w:t>legal regulation</w:t>
      </w:r>
      <w:r w:rsidR="00AB2F7F" w:rsidRPr="00DD61C0">
        <w:rPr>
          <w:lang w:val="en-GB"/>
        </w:rPr>
        <w:t xml:space="preserve">. This is mainly </w:t>
      </w:r>
      <w:proofErr w:type="gramStart"/>
      <w:r w:rsidR="00AB2F7F" w:rsidRPr="00DD61C0">
        <w:rPr>
          <w:lang w:val="en-GB"/>
        </w:rPr>
        <w:t>due to the fact that</w:t>
      </w:r>
      <w:proofErr w:type="gramEnd"/>
      <w:r w:rsidR="00AB2F7F" w:rsidRPr="00DD61C0">
        <w:rPr>
          <w:lang w:val="en-GB"/>
        </w:rPr>
        <w:t xml:space="preserve"> the case</w:t>
      </w:r>
      <w:r w:rsidR="00D945BD" w:rsidRPr="00DD61C0">
        <w:rPr>
          <w:lang w:val="en-GB"/>
        </w:rPr>
        <w:t>s</w:t>
      </w:r>
      <w:r w:rsidR="00AB2F7F" w:rsidRPr="00DD61C0">
        <w:rPr>
          <w:lang w:val="en-GB"/>
        </w:rPr>
        <w:t xml:space="preserve"> at hand w</w:t>
      </w:r>
      <w:r w:rsidR="00D945BD" w:rsidRPr="00DD61C0">
        <w:rPr>
          <w:lang w:val="en-GB"/>
        </w:rPr>
        <w:t>ere</w:t>
      </w:r>
      <w:r w:rsidR="00AB2F7F" w:rsidRPr="00DD61C0">
        <w:rPr>
          <w:lang w:val="en-GB"/>
        </w:rPr>
        <w:t xml:space="preserve"> governed </w:t>
      </w:r>
      <w:r w:rsidR="00D945BD" w:rsidRPr="00DD61C0">
        <w:rPr>
          <w:lang w:val="en-GB"/>
        </w:rPr>
        <w:t xml:space="preserve">primarily </w:t>
      </w:r>
      <w:r w:rsidR="00AB2F7F" w:rsidRPr="00DD61C0">
        <w:rPr>
          <w:lang w:val="en-GB"/>
        </w:rPr>
        <w:t xml:space="preserve">by the Criminal Code effective until 31 December 2009 (Act no. 140/1961). In the meantime, </w:t>
      </w:r>
      <w:r w:rsidR="00C64448" w:rsidRPr="00DD61C0">
        <w:rPr>
          <w:lang w:val="en-GB"/>
        </w:rPr>
        <w:t xml:space="preserve">however, </w:t>
      </w:r>
      <w:r w:rsidR="00AB2F7F" w:rsidRPr="00DD61C0">
        <w:rPr>
          <w:lang w:val="en-GB"/>
        </w:rPr>
        <w:t>the Czech Republic has introduced a new Criminal Code (Act no.</w:t>
      </w:r>
      <w:r w:rsidR="00D151AD" w:rsidRPr="00DD61C0">
        <w:rPr>
          <w:lang w:val="en-GB"/>
        </w:rPr>
        <w:t> </w:t>
      </w:r>
      <w:r w:rsidR="00AB2F7F" w:rsidRPr="00DD61C0">
        <w:rPr>
          <w:lang w:val="en-GB"/>
        </w:rPr>
        <w:t>40/2009) and its amendment (Act no. 166/2024) which are better aligned with the requirements contained in the Court’s judgment</w:t>
      </w:r>
      <w:r w:rsidR="00C638F6" w:rsidRPr="00DD61C0">
        <w:rPr>
          <w:lang w:val="en-GB"/>
        </w:rPr>
        <w:t>s</w:t>
      </w:r>
      <w:r w:rsidR="00AB2F7F" w:rsidRPr="00DD61C0">
        <w:rPr>
          <w:lang w:val="en-GB"/>
        </w:rPr>
        <w:t>.</w:t>
      </w:r>
    </w:p>
    <w:bookmarkEnd w:id="1"/>
    <w:p w14:paraId="7CA607BF" w14:textId="5E29FB7F" w:rsidR="00C64448" w:rsidRPr="00DD61C0" w:rsidRDefault="00C64448" w:rsidP="00242A3B">
      <w:pPr>
        <w:pStyle w:val="Nadpisoddlu"/>
        <w:numPr>
          <w:ilvl w:val="0"/>
          <w:numId w:val="3"/>
        </w:numPr>
        <w:spacing w:before="300"/>
        <w:ind w:left="714" w:hanging="357"/>
        <w:rPr>
          <w:lang w:val="en-GB"/>
        </w:rPr>
      </w:pPr>
      <w:r w:rsidRPr="00DD61C0">
        <w:rPr>
          <w:lang w:val="en-GB"/>
        </w:rPr>
        <w:lastRenderedPageBreak/>
        <w:t>Act no. 40/2009, the Criminal Code (effective since 1 January 2010)</w:t>
      </w:r>
    </w:p>
    <w:p w14:paraId="0B83EE6F" w14:textId="6F27A1ED" w:rsidR="0041431E" w:rsidRPr="00DD61C0" w:rsidRDefault="00991798" w:rsidP="00C64448">
      <w:pPr>
        <w:pStyle w:val="Textodstavce"/>
        <w:rPr>
          <w:lang w:val="en-GB"/>
        </w:rPr>
      </w:pPr>
      <w:r w:rsidRPr="00DD61C0">
        <w:rPr>
          <w:lang w:val="en-GB"/>
        </w:rPr>
        <w:t xml:space="preserve">In its judgment in the case </w:t>
      </w:r>
      <w:r w:rsidR="00D945BD" w:rsidRPr="00DD61C0">
        <w:rPr>
          <w:lang w:val="en-GB"/>
        </w:rPr>
        <w:t xml:space="preserve">of </w:t>
      </w:r>
      <w:r w:rsidR="00D945BD" w:rsidRPr="00DD61C0">
        <w:rPr>
          <w:i/>
          <w:iCs/>
          <w:lang w:val="en-GB"/>
        </w:rPr>
        <w:t>Z v. the Czech Republic</w:t>
      </w:r>
      <w:r w:rsidRPr="00DD61C0">
        <w:rPr>
          <w:lang w:val="en-GB"/>
        </w:rPr>
        <w:t>, the Court itself remark</w:t>
      </w:r>
      <w:r w:rsidR="00D151AD" w:rsidRPr="00DD61C0">
        <w:rPr>
          <w:lang w:val="en-GB"/>
        </w:rPr>
        <w:t>ed</w:t>
      </w:r>
      <w:r w:rsidRPr="00DD61C0">
        <w:rPr>
          <w:lang w:val="en-GB"/>
        </w:rPr>
        <w:t xml:space="preserve"> that th</w:t>
      </w:r>
      <w:r w:rsidR="0041431E" w:rsidRPr="00DD61C0">
        <w:rPr>
          <w:lang w:val="en-GB"/>
        </w:rPr>
        <w:t>e</w:t>
      </w:r>
      <w:r w:rsidRPr="00DD61C0">
        <w:rPr>
          <w:lang w:val="en-GB"/>
        </w:rPr>
        <w:t xml:space="preserve"> new</w:t>
      </w:r>
      <w:r w:rsidR="0041431E" w:rsidRPr="00DD61C0">
        <w:rPr>
          <w:lang w:val="en-GB"/>
        </w:rPr>
        <w:t xml:space="preserve"> Czech</w:t>
      </w:r>
      <w:r w:rsidRPr="00DD61C0">
        <w:rPr>
          <w:lang w:val="en-GB"/>
        </w:rPr>
        <w:t xml:space="preserve"> Criminal Code and </w:t>
      </w:r>
      <w:r w:rsidR="007B2C21" w:rsidRPr="00DD61C0">
        <w:rPr>
          <w:lang w:val="en-GB"/>
        </w:rPr>
        <w:t xml:space="preserve">related </w:t>
      </w:r>
      <w:r w:rsidRPr="00DD61C0">
        <w:rPr>
          <w:lang w:val="en-GB"/>
        </w:rPr>
        <w:t>the case-law of the Supreme Court represent a more appropriate State response in the given area (§ 59 of the judgment)</w:t>
      </w:r>
      <w:r w:rsidR="0041431E" w:rsidRPr="00DD61C0">
        <w:rPr>
          <w:lang w:val="en-GB"/>
        </w:rPr>
        <w:t>:</w:t>
      </w:r>
    </w:p>
    <w:p w14:paraId="78544C5E" w14:textId="1DBC0468" w:rsidR="0041431E" w:rsidRPr="00DD61C0" w:rsidRDefault="0041431E" w:rsidP="0041431E">
      <w:pPr>
        <w:pStyle w:val="Textodstavce"/>
        <w:numPr>
          <w:ilvl w:val="0"/>
          <w:numId w:val="4"/>
        </w:numPr>
        <w:rPr>
          <w:lang w:val="en-GB"/>
        </w:rPr>
      </w:pPr>
      <w:r w:rsidRPr="00DD61C0">
        <w:rPr>
          <w:lang w:val="en-GB"/>
        </w:rPr>
        <w:t>In particular, the Court ma</w:t>
      </w:r>
      <w:r w:rsidR="00D151AD" w:rsidRPr="00DD61C0">
        <w:rPr>
          <w:lang w:val="en-GB"/>
        </w:rPr>
        <w:t>de</w:t>
      </w:r>
      <w:r w:rsidRPr="00DD61C0">
        <w:rPr>
          <w:lang w:val="en-GB"/>
        </w:rPr>
        <w:t xml:space="preserve"> a reference to the </w:t>
      </w:r>
      <w:r w:rsidR="00B52258" w:rsidRPr="00DD61C0">
        <w:rPr>
          <w:lang w:val="en-GB"/>
        </w:rPr>
        <w:t>offence</w:t>
      </w:r>
      <w:r w:rsidRPr="00DD61C0">
        <w:rPr>
          <w:lang w:val="en-GB"/>
        </w:rPr>
        <w:t xml:space="preserve"> of </w:t>
      </w:r>
      <w:r w:rsidRPr="00DD61C0">
        <w:rPr>
          <w:b/>
          <w:bCs/>
          <w:lang w:val="en-GB"/>
        </w:rPr>
        <w:t xml:space="preserve">rape </w:t>
      </w:r>
      <w:r w:rsidRPr="00DD61C0">
        <w:rPr>
          <w:lang w:val="en-GB"/>
        </w:rPr>
        <w:t>as defined by Section 185(1) of Act no. 40/2009, where, according to the Supreme Court, in order for the definition of “</w:t>
      </w:r>
      <w:r w:rsidR="00E0710B" w:rsidRPr="00DD61C0">
        <w:rPr>
          <w:lang w:val="en-GB"/>
        </w:rPr>
        <w:t>force</w:t>
      </w:r>
      <w:r w:rsidRPr="00DD61C0">
        <w:rPr>
          <w:lang w:val="en-GB"/>
        </w:rPr>
        <w:t>” to be met, “it is not necessary for the injured party to have put up evident physical resistance; it is sufficient that the injured party’s objection to the offender’s conduct must have been obvious to the offender” (Supreme Court’s decision no. 11 </w:t>
      </w:r>
      <w:proofErr w:type="spellStart"/>
      <w:r w:rsidRPr="00DD61C0">
        <w:rPr>
          <w:lang w:val="en-GB"/>
        </w:rPr>
        <w:t>Tdo</w:t>
      </w:r>
      <w:proofErr w:type="spellEnd"/>
      <w:r w:rsidRPr="00DD61C0">
        <w:rPr>
          <w:lang w:val="en-GB"/>
        </w:rPr>
        <w:t> 294/2014</w:t>
      </w:r>
      <w:bookmarkStart w:id="2" w:name="_Ref132199735"/>
      <w:r w:rsidRPr="00DD61C0">
        <w:rPr>
          <w:lang w:val="en-GB"/>
        </w:rPr>
        <w:t xml:space="preserve"> of 26 March 2014), wh</w:t>
      </w:r>
      <w:r w:rsidR="00C256E7" w:rsidRPr="00DD61C0">
        <w:rPr>
          <w:lang w:val="en-GB"/>
        </w:rPr>
        <w:t>ile</w:t>
      </w:r>
      <w:r w:rsidRPr="00DD61C0">
        <w:rPr>
          <w:lang w:val="en-GB"/>
        </w:rPr>
        <w:t xml:space="preserve"> this objection might be expressed also nonverbally, e.g. by a body position (</w:t>
      </w:r>
      <w:r w:rsidR="00B52258" w:rsidRPr="00DD61C0">
        <w:rPr>
          <w:lang w:val="en-GB"/>
        </w:rPr>
        <w:t>Supreme Court’s decision no. 8 </w:t>
      </w:r>
      <w:proofErr w:type="spellStart"/>
      <w:r w:rsidR="00B52258" w:rsidRPr="00DD61C0">
        <w:rPr>
          <w:lang w:val="en-GB"/>
        </w:rPr>
        <w:t>Tdo</w:t>
      </w:r>
      <w:proofErr w:type="spellEnd"/>
      <w:r w:rsidR="00B52258" w:rsidRPr="00DD61C0">
        <w:rPr>
          <w:lang w:val="en-GB"/>
        </w:rPr>
        <w:t> 699/2021 of 4 August 2021) or by pulling away or passivity (Supreme Court’s decision no. 7 </w:t>
      </w:r>
      <w:proofErr w:type="spellStart"/>
      <w:r w:rsidR="00B52258" w:rsidRPr="00DD61C0">
        <w:rPr>
          <w:lang w:val="en-GB"/>
        </w:rPr>
        <w:t>Tdo</w:t>
      </w:r>
      <w:proofErr w:type="spellEnd"/>
      <w:r w:rsidR="00B52258" w:rsidRPr="00DD61C0">
        <w:rPr>
          <w:lang w:val="en-GB"/>
        </w:rPr>
        <w:t> 1023/2021 of 10 November 2021).</w:t>
      </w:r>
    </w:p>
    <w:p w14:paraId="5390F1C3" w14:textId="5101D336" w:rsidR="00E0710B" w:rsidRPr="00DD61C0" w:rsidRDefault="00B52258" w:rsidP="00E0710B">
      <w:pPr>
        <w:pStyle w:val="Textodstavce"/>
        <w:numPr>
          <w:ilvl w:val="0"/>
          <w:numId w:val="4"/>
        </w:numPr>
        <w:rPr>
          <w:lang w:val="en-GB"/>
        </w:rPr>
      </w:pPr>
      <w:r w:rsidRPr="00DD61C0">
        <w:rPr>
          <w:lang w:val="en-GB"/>
        </w:rPr>
        <w:t xml:space="preserve">The </w:t>
      </w:r>
      <w:r w:rsidR="007B2C21" w:rsidRPr="00DD61C0">
        <w:rPr>
          <w:lang w:val="en-GB"/>
        </w:rPr>
        <w:t xml:space="preserve">Court’s judgment </w:t>
      </w:r>
      <w:r w:rsidRPr="00DD61C0">
        <w:rPr>
          <w:lang w:val="en-GB"/>
        </w:rPr>
        <w:t>also draw</w:t>
      </w:r>
      <w:r w:rsidR="007B2C21" w:rsidRPr="00DD61C0">
        <w:rPr>
          <w:lang w:val="en-GB"/>
        </w:rPr>
        <w:t>s</w:t>
      </w:r>
      <w:r w:rsidRPr="00DD61C0">
        <w:rPr>
          <w:lang w:val="en-GB"/>
        </w:rPr>
        <w:t xml:space="preserve"> attention to the fact that according to the domestic authorities involved in the case at hand, it might have been possible to assess the conduct of the suspect as an offence of </w:t>
      </w:r>
      <w:r w:rsidRPr="00DD61C0">
        <w:rPr>
          <w:b/>
          <w:bCs/>
          <w:lang w:val="en-GB"/>
        </w:rPr>
        <w:t>sexual coercion</w:t>
      </w:r>
      <w:r w:rsidRPr="00DD61C0">
        <w:rPr>
          <w:lang w:val="en-GB"/>
        </w:rPr>
        <w:t xml:space="preserve"> in the sense of Section 186(2) of the Act no. 40/2009. This offence, newly introduced by Act no. 40/2009, applies to all sexual acts</w:t>
      </w:r>
      <w:r w:rsidR="008671BA" w:rsidRPr="00DD61C0">
        <w:rPr>
          <w:lang w:val="en-GB"/>
        </w:rPr>
        <w:t xml:space="preserve"> where the perpetrator exploits the victim’s dependence or his or her own position and the trustworthiness or influence resulting therefrom. T</w:t>
      </w:r>
      <w:r w:rsidRPr="00DD61C0">
        <w:rPr>
          <w:lang w:val="en-GB"/>
        </w:rPr>
        <w:t>h</w:t>
      </w:r>
      <w:r w:rsidR="00C256E7" w:rsidRPr="00DD61C0">
        <w:rPr>
          <w:lang w:val="en-GB"/>
        </w:rPr>
        <w:t>e above</w:t>
      </w:r>
      <w:r w:rsidRPr="00DD61C0">
        <w:rPr>
          <w:lang w:val="en-GB"/>
        </w:rPr>
        <w:t xml:space="preserve"> interpretation seems to be confirmed by the recent case-law of the Supreme Court</w:t>
      </w:r>
      <w:r w:rsidR="00E0710B" w:rsidRPr="00DD61C0">
        <w:rPr>
          <w:lang w:val="en-GB"/>
        </w:rPr>
        <w:t xml:space="preserve"> which include</w:t>
      </w:r>
      <w:r w:rsidR="00C256E7" w:rsidRPr="00DD61C0">
        <w:rPr>
          <w:lang w:val="en-GB"/>
        </w:rPr>
        <w:t>s</w:t>
      </w:r>
      <w:r w:rsidR="00E0710B" w:rsidRPr="00DD61C0">
        <w:rPr>
          <w:lang w:val="en-GB"/>
        </w:rPr>
        <w:t xml:space="preserve"> under the offence of sexual coercion also </w:t>
      </w:r>
      <w:r w:rsidR="007B2C21" w:rsidRPr="00DD61C0">
        <w:rPr>
          <w:lang w:val="en-GB"/>
        </w:rPr>
        <w:t>the</w:t>
      </w:r>
      <w:r w:rsidR="00E0710B" w:rsidRPr="00DD61C0">
        <w:rPr>
          <w:lang w:val="en-GB"/>
        </w:rPr>
        <w:t xml:space="preserve"> conduct of a Catholic priest against adult members of the church who </w:t>
      </w:r>
      <w:r w:rsidR="00C256E7" w:rsidRPr="00DD61C0">
        <w:rPr>
          <w:lang w:val="en-GB"/>
        </w:rPr>
        <w:t>regard</w:t>
      </w:r>
      <w:r w:rsidR="00E0710B" w:rsidRPr="00DD61C0">
        <w:rPr>
          <w:lang w:val="en-GB"/>
        </w:rPr>
        <w:t>ed the priest as a religious authority</w:t>
      </w:r>
      <w:bookmarkEnd w:id="2"/>
      <w:r w:rsidR="00E0710B" w:rsidRPr="00DD61C0">
        <w:rPr>
          <w:lang w:val="en-GB"/>
        </w:rPr>
        <w:t xml:space="preserve"> (Supreme Court’s decision no. 6 </w:t>
      </w:r>
      <w:proofErr w:type="spellStart"/>
      <w:r w:rsidR="00E0710B" w:rsidRPr="00DD61C0">
        <w:rPr>
          <w:lang w:val="en-GB"/>
        </w:rPr>
        <w:t>Tdo</w:t>
      </w:r>
      <w:proofErr w:type="spellEnd"/>
      <w:r w:rsidR="00E0710B" w:rsidRPr="00DD61C0">
        <w:rPr>
          <w:lang w:val="en-GB"/>
        </w:rPr>
        <w:t> 450/2017 of 27 November 2017).</w:t>
      </w:r>
    </w:p>
    <w:p w14:paraId="6269693F" w14:textId="4E1098C1" w:rsidR="00AB2F7F" w:rsidRPr="00DD61C0" w:rsidRDefault="00C64448" w:rsidP="00242A3B">
      <w:pPr>
        <w:pStyle w:val="Nadpisoddlu"/>
        <w:numPr>
          <w:ilvl w:val="0"/>
          <w:numId w:val="3"/>
        </w:numPr>
        <w:spacing w:before="300"/>
        <w:ind w:left="714" w:hanging="357"/>
        <w:rPr>
          <w:lang w:val="en-GB"/>
        </w:rPr>
      </w:pPr>
      <w:r w:rsidRPr="00DD61C0">
        <w:rPr>
          <w:lang w:val="en-GB"/>
        </w:rPr>
        <w:t>Act no. 166/2024, Amending act no. 40/2009 (effective since 1 January 2025)</w:t>
      </w:r>
    </w:p>
    <w:p w14:paraId="25AB3D88" w14:textId="55EF0CD1" w:rsidR="00C64448" w:rsidRPr="00DD61C0" w:rsidRDefault="00E0710B" w:rsidP="00E0710B">
      <w:pPr>
        <w:pStyle w:val="Textodstavce"/>
        <w:rPr>
          <w:lang w:val="en-GB"/>
        </w:rPr>
      </w:pPr>
      <w:r w:rsidRPr="00DD61C0">
        <w:rPr>
          <w:lang w:val="en-GB"/>
        </w:rPr>
        <w:t xml:space="preserve">The latest amendment </w:t>
      </w:r>
      <w:r w:rsidR="00676EAB" w:rsidRPr="00DD61C0">
        <w:rPr>
          <w:lang w:val="en-GB"/>
        </w:rPr>
        <w:t>to</w:t>
      </w:r>
      <w:r w:rsidRPr="00DD61C0">
        <w:rPr>
          <w:lang w:val="en-GB"/>
        </w:rPr>
        <w:t xml:space="preserve"> the Criminal Code </w:t>
      </w:r>
      <w:r w:rsidR="005F4EDC" w:rsidRPr="00DD61C0">
        <w:rPr>
          <w:lang w:val="en-GB"/>
        </w:rPr>
        <w:t>bring</w:t>
      </w:r>
      <w:r w:rsidRPr="00DD61C0">
        <w:rPr>
          <w:lang w:val="en-GB"/>
        </w:rPr>
        <w:t>s three important changes in the area affected by the Court’s judgment</w:t>
      </w:r>
      <w:r w:rsidR="00D945BD" w:rsidRPr="00DD61C0">
        <w:rPr>
          <w:lang w:val="en-GB"/>
        </w:rPr>
        <w:t>s</w:t>
      </w:r>
      <w:r w:rsidRPr="00DD61C0">
        <w:rPr>
          <w:lang w:val="en-GB"/>
        </w:rPr>
        <w:t>:</w:t>
      </w:r>
    </w:p>
    <w:p w14:paraId="27B2A421" w14:textId="6DC111A8" w:rsidR="00E0710B" w:rsidRPr="00DD61C0" w:rsidRDefault="00E0710B" w:rsidP="00E0710B">
      <w:pPr>
        <w:pStyle w:val="Textodstavce"/>
        <w:numPr>
          <w:ilvl w:val="0"/>
          <w:numId w:val="6"/>
        </w:numPr>
        <w:rPr>
          <w:lang w:val="en-GB"/>
        </w:rPr>
      </w:pPr>
      <w:r w:rsidRPr="00DD61C0">
        <w:rPr>
          <w:i/>
          <w:iCs/>
          <w:lang w:val="en-GB"/>
        </w:rPr>
        <w:t>First</w:t>
      </w:r>
      <w:r w:rsidRPr="00DD61C0">
        <w:rPr>
          <w:lang w:val="en-GB"/>
        </w:rPr>
        <w:t xml:space="preserve">, the new definition of </w:t>
      </w:r>
      <w:r w:rsidRPr="00DD61C0">
        <w:rPr>
          <w:b/>
          <w:bCs/>
          <w:lang w:val="en-GB"/>
        </w:rPr>
        <w:t>rape</w:t>
      </w:r>
      <w:r w:rsidRPr="00DD61C0">
        <w:rPr>
          <w:lang w:val="en-GB"/>
        </w:rPr>
        <w:t xml:space="preserve"> under Section 185(1) of Act no. 40/2009 covers not only sexual intercourse obtained by force or exploitation of victim’s defencelessness, but also sexual intercourse conducted “against the recognizable will” of the victim.</w:t>
      </w:r>
    </w:p>
    <w:p w14:paraId="4CDB124A" w14:textId="22CF494D" w:rsidR="00E0710B" w:rsidRPr="00DD61C0" w:rsidRDefault="00E0710B" w:rsidP="00E0710B">
      <w:pPr>
        <w:pStyle w:val="Textodstavce"/>
        <w:numPr>
          <w:ilvl w:val="0"/>
          <w:numId w:val="6"/>
        </w:numPr>
        <w:rPr>
          <w:lang w:val="en-GB"/>
        </w:rPr>
      </w:pPr>
      <w:r w:rsidRPr="00DD61C0">
        <w:rPr>
          <w:i/>
          <w:iCs/>
          <w:lang w:val="en-GB"/>
        </w:rPr>
        <w:t>Second</w:t>
      </w:r>
      <w:r w:rsidRPr="00DD61C0">
        <w:rPr>
          <w:lang w:val="en-GB"/>
        </w:rPr>
        <w:t xml:space="preserve">, the amendment widens the scope of the offence of </w:t>
      </w:r>
      <w:r w:rsidRPr="00DD61C0">
        <w:rPr>
          <w:b/>
          <w:bCs/>
          <w:lang w:val="en-GB"/>
        </w:rPr>
        <w:t>sexual coercion</w:t>
      </w:r>
      <w:r w:rsidRPr="00DD61C0">
        <w:rPr>
          <w:lang w:val="en-GB"/>
        </w:rPr>
        <w:t xml:space="preserve"> under Section 186(2) of Act no. 40/2009: according to </w:t>
      </w:r>
      <w:r w:rsidR="001144CE" w:rsidRPr="00DD61C0">
        <w:rPr>
          <w:lang w:val="en-GB"/>
        </w:rPr>
        <w:t xml:space="preserve">the </w:t>
      </w:r>
      <w:r w:rsidRPr="00DD61C0">
        <w:rPr>
          <w:lang w:val="en-GB"/>
        </w:rPr>
        <w:t xml:space="preserve">new definition, this offence </w:t>
      </w:r>
      <w:r w:rsidR="00F1016B" w:rsidRPr="00DD61C0">
        <w:rPr>
          <w:lang w:val="en-GB"/>
        </w:rPr>
        <w:t>relates</w:t>
      </w:r>
      <w:r w:rsidRPr="00DD61C0">
        <w:rPr>
          <w:lang w:val="en-GB"/>
        </w:rPr>
        <w:t xml:space="preserve"> not only </w:t>
      </w:r>
      <w:r w:rsidR="00F1016B" w:rsidRPr="00DD61C0">
        <w:rPr>
          <w:lang w:val="en-GB"/>
        </w:rPr>
        <w:t xml:space="preserve">to </w:t>
      </w:r>
      <w:r w:rsidRPr="00DD61C0">
        <w:rPr>
          <w:lang w:val="en-GB"/>
        </w:rPr>
        <w:t>exploitation of the victim’s dependence or of the perpetrator’s position and the trustworthiness or influence resulting therefrom</w:t>
      </w:r>
      <w:r w:rsidR="005F4EDC" w:rsidRPr="00DD61C0">
        <w:rPr>
          <w:lang w:val="en-GB"/>
        </w:rPr>
        <w:t xml:space="preserve">, but also </w:t>
      </w:r>
      <w:r w:rsidR="00F1016B" w:rsidRPr="00DD61C0">
        <w:rPr>
          <w:lang w:val="en-GB"/>
        </w:rPr>
        <w:t xml:space="preserve">to </w:t>
      </w:r>
      <w:r w:rsidR="005F4EDC" w:rsidRPr="00DD61C0">
        <w:rPr>
          <w:lang w:val="en-GB"/>
        </w:rPr>
        <w:t>exploitation of the victim’s distress.</w:t>
      </w:r>
    </w:p>
    <w:p w14:paraId="6AB8C639" w14:textId="1CF44E6F" w:rsidR="005F4EDC" w:rsidRPr="00DD61C0" w:rsidRDefault="005F4EDC" w:rsidP="00E0710B">
      <w:pPr>
        <w:pStyle w:val="Textodstavce"/>
        <w:numPr>
          <w:ilvl w:val="0"/>
          <w:numId w:val="6"/>
        </w:numPr>
        <w:rPr>
          <w:lang w:val="en-GB"/>
        </w:rPr>
      </w:pPr>
      <w:r w:rsidRPr="00DD61C0">
        <w:rPr>
          <w:lang w:val="en-GB"/>
        </w:rPr>
        <w:t>And</w:t>
      </w:r>
      <w:r w:rsidRPr="00DD61C0">
        <w:rPr>
          <w:i/>
          <w:iCs/>
          <w:lang w:val="en-GB"/>
        </w:rPr>
        <w:t xml:space="preserve"> third</w:t>
      </w:r>
      <w:r w:rsidRPr="00DD61C0">
        <w:rPr>
          <w:lang w:val="en-GB"/>
        </w:rPr>
        <w:t xml:space="preserve">, the amendment, in its newly introduced Section 119a, </w:t>
      </w:r>
      <w:r w:rsidR="001144CE" w:rsidRPr="00DD61C0">
        <w:rPr>
          <w:lang w:val="en-GB"/>
        </w:rPr>
        <w:t xml:space="preserve">provides the </w:t>
      </w:r>
      <w:r w:rsidRPr="00DD61C0">
        <w:rPr>
          <w:lang w:val="en-GB"/>
        </w:rPr>
        <w:t>defin</w:t>
      </w:r>
      <w:r w:rsidR="001144CE" w:rsidRPr="00DD61C0">
        <w:rPr>
          <w:lang w:val="en-GB"/>
        </w:rPr>
        <w:t>ition of</w:t>
      </w:r>
      <w:r w:rsidRPr="00DD61C0">
        <w:rPr>
          <w:lang w:val="en-GB"/>
        </w:rPr>
        <w:t xml:space="preserve"> the concept of </w:t>
      </w:r>
      <w:r w:rsidRPr="00DD61C0">
        <w:rPr>
          <w:b/>
          <w:bCs/>
          <w:lang w:val="en-GB"/>
        </w:rPr>
        <w:t>defencelessness</w:t>
      </w:r>
      <w:r w:rsidRPr="00DD61C0">
        <w:rPr>
          <w:lang w:val="en-GB"/>
        </w:rPr>
        <w:t xml:space="preserve">, and includes here also the situations when the victim is “paralysed by </w:t>
      </w:r>
      <w:r w:rsidR="00676EAB" w:rsidRPr="00DD61C0">
        <w:rPr>
          <w:lang w:val="en-GB"/>
        </w:rPr>
        <w:t xml:space="preserve">strong </w:t>
      </w:r>
      <w:r w:rsidRPr="00DD61C0">
        <w:rPr>
          <w:lang w:val="en-GB"/>
        </w:rPr>
        <w:t xml:space="preserve">stress”. </w:t>
      </w:r>
    </w:p>
    <w:p w14:paraId="67150782" w14:textId="4ECB8B5C" w:rsidR="002A58CD" w:rsidRPr="00DD61C0" w:rsidRDefault="002A58CD" w:rsidP="00242A3B">
      <w:pPr>
        <w:pStyle w:val="Nadpisoddlu"/>
        <w:numPr>
          <w:ilvl w:val="0"/>
          <w:numId w:val="3"/>
        </w:numPr>
        <w:spacing w:before="300"/>
        <w:ind w:left="714" w:hanging="357"/>
        <w:rPr>
          <w:lang w:val="en-GB"/>
        </w:rPr>
      </w:pPr>
      <w:r w:rsidRPr="00DD61C0">
        <w:rPr>
          <w:lang w:val="en-GB"/>
        </w:rPr>
        <w:t>Using the Court’s judgment</w:t>
      </w:r>
      <w:r w:rsidR="00D945BD" w:rsidRPr="00DD61C0">
        <w:rPr>
          <w:lang w:val="en-GB"/>
        </w:rPr>
        <w:t>s</w:t>
      </w:r>
      <w:r w:rsidRPr="00DD61C0">
        <w:rPr>
          <w:lang w:val="en-GB"/>
        </w:rPr>
        <w:t xml:space="preserve"> as a guideline for application of Czech law</w:t>
      </w:r>
    </w:p>
    <w:p w14:paraId="2CF3EED6" w14:textId="5CA4381A" w:rsidR="007B2C21" w:rsidRPr="00DD61C0" w:rsidRDefault="007B2C21" w:rsidP="007B2C21">
      <w:pPr>
        <w:pStyle w:val="Textodstavce"/>
        <w:rPr>
          <w:lang w:val="en-GB"/>
        </w:rPr>
      </w:pPr>
      <w:bookmarkStart w:id="3" w:name="_Hlk208507786"/>
      <w:r w:rsidRPr="00DD61C0">
        <w:rPr>
          <w:lang w:val="en-GB"/>
        </w:rPr>
        <w:t xml:space="preserve">In the light of this development of </w:t>
      </w:r>
      <w:r w:rsidR="00676EAB" w:rsidRPr="00DD61C0">
        <w:rPr>
          <w:lang w:val="en-GB"/>
        </w:rPr>
        <w:t xml:space="preserve">domestic </w:t>
      </w:r>
      <w:r w:rsidRPr="00DD61C0">
        <w:rPr>
          <w:lang w:val="en-GB"/>
        </w:rPr>
        <w:t xml:space="preserve">legislation and </w:t>
      </w:r>
      <w:r w:rsidR="00676EAB" w:rsidRPr="00DD61C0">
        <w:rPr>
          <w:lang w:val="en-GB"/>
        </w:rPr>
        <w:t>jurisprudence</w:t>
      </w:r>
      <w:r w:rsidRPr="00DD61C0">
        <w:rPr>
          <w:lang w:val="en-GB"/>
        </w:rPr>
        <w:t xml:space="preserve">, the Government </w:t>
      </w:r>
      <w:r w:rsidR="00676EAB" w:rsidRPr="00DD61C0">
        <w:rPr>
          <w:lang w:val="en-GB"/>
        </w:rPr>
        <w:t>are of the opinion</w:t>
      </w:r>
      <w:r w:rsidRPr="00DD61C0">
        <w:rPr>
          <w:lang w:val="en-GB"/>
        </w:rPr>
        <w:t xml:space="preserve"> that the execution of the Court’s judgment</w:t>
      </w:r>
      <w:r w:rsidR="00D945BD" w:rsidRPr="00DD61C0">
        <w:rPr>
          <w:lang w:val="en-GB"/>
        </w:rPr>
        <w:t>s</w:t>
      </w:r>
      <w:r w:rsidRPr="00DD61C0">
        <w:rPr>
          <w:lang w:val="en-GB"/>
        </w:rPr>
        <w:t xml:space="preserve"> does not require to change </w:t>
      </w:r>
      <w:r w:rsidRPr="00DD61C0">
        <w:rPr>
          <w:lang w:val="en-GB"/>
        </w:rPr>
        <w:lastRenderedPageBreak/>
        <w:t>the current legal regulation. Rather, it call</w:t>
      </w:r>
      <w:r w:rsidR="00FE7B91" w:rsidRPr="00DD61C0">
        <w:rPr>
          <w:lang w:val="en-GB"/>
        </w:rPr>
        <w:t>s</w:t>
      </w:r>
      <w:r w:rsidRPr="00DD61C0">
        <w:rPr>
          <w:lang w:val="en-GB"/>
        </w:rPr>
        <w:t xml:space="preserve"> for </w:t>
      </w:r>
      <w:r w:rsidRPr="00DD61C0">
        <w:rPr>
          <w:b/>
          <w:bCs/>
          <w:lang w:val="en-GB"/>
        </w:rPr>
        <w:t>employment of the principles contained in the judgment</w:t>
      </w:r>
      <w:r w:rsidR="00D945BD" w:rsidRPr="00DD61C0">
        <w:rPr>
          <w:b/>
          <w:bCs/>
          <w:lang w:val="en-GB"/>
        </w:rPr>
        <w:t>s</w:t>
      </w:r>
      <w:r w:rsidRPr="00DD61C0">
        <w:rPr>
          <w:b/>
          <w:bCs/>
          <w:lang w:val="en-GB"/>
        </w:rPr>
        <w:t xml:space="preserve"> in the application of the existing legislation</w:t>
      </w:r>
      <w:r w:rsidRPr="00DD61C0">
        <w:rPr>
          <w:lang w:val="en-GB"/>
        </w:rPr>
        <w:t>.</w:t>
      </w:r>
    </w:p>
    <w:p w14:paraId="1468BD4A" w14:textId="327DF2C6" w:rsidR="00B14E86" w:rsidRPr="00DD61C0" w:rsidRDefault="007B2C21" w:rsidP="00B14E86">
      <w:pPr>
        <w:pStyle w:val="Textodstavce"/>
        <w:rPr>
          <w:lang w:val="en-GB"/>
        </w:rPr>
      </w:pPr>
      <w:r w:rsidRPr="00DD61C0">
        <w:rPr>
          <w:lang w:val="en-GB"/>
        </w:rPr>
        <w:t>To this effect,</w:t>
      </w:r>
      <w:r w:rsidR="003A4747" w:rsidRPr="00DD61C0">
        <w:rPr>
          <w:lang w:val="en-GB"/>
        </w:rPr>
        <w:t xml:space="preserve"> the</w:t>
      </w:r>
      <w:r w:rsidRPr="00DD61C0">
        <w:rPr>
          <w:lang w:val="en-GB"/>
        </w:rPr>
        <w:t xml:space="preserve"> </w:t>
      </w:r>
      <w:r w:rsidR="00E80987" w:rsidRPr="00DD61C0">
        <w:rPr>
          <w:lang w:val="en-GB"/>
        </w:rPr>
        <w:t xml:space="preserve">representatives of the Government Agent’s Office </w:t>
      </w:r>
      <w:r w:rsidR="00B60BAA" w:rsidRPr="00DD61C0">
        <w:rPr>
          <w:lang w:val="en-GB"/>
        </w:rPr>
        <w:t xml:space="preserve">have </w:t>
      </w:r>
      <w:r w:rsidR="002A58CD" w:rsidRPr="00DD61C0">
        <w:rPr>
          <w:lang w:val="en-GB"/>
        </w:rPr>
        <w:t xml:space="preserve">already </w:t>
      </w:r>
      <w:r w:rsidR="00D9401A" w:rsidRPr="00DD61C0">
        <w:rPr>
          <w:lang w:val="en-GB"/>
        </w:rPr>
        <w:t>discussed</w:t>
      </w:r>
      <w:r w:rsidR="00B60BAA" w:rsidRPr="00DD61C0">
        <w:rPr>
          <w:lang w:val="en-GB"/>
        </w:rPr>
        <w:t xml:space="preserve"> the Court’s judgment in the case </w:t>
      </w:r>
      <w:r w:rsidR="00D945BD" w:rsidRPr="00DD61C0">
        <w:rPr>
          <w:lang w:val="en-GB"/>
        </w:rPr>
        <w:t xml:space="preserve">of </w:t>
      </w:r>
      <w:r w:rsidR="00D945BD" w:rsidRPr="00DD61C0">
        <w:rPr>
          <w:i/>
          <w:iCs/>
          <w:lang w:val="en-GB"/>
        </w:rPr>
        <w:t>Z v. the Czech Republic</w:t>
      </w:r>
      <w:r w:rsidR="00D945BD" w:rsidRPr="00DD61C0">
        <w:rPr>
          <w:lang w:val="en-GB"/>
        </w:rPr>
        <w:t xml:space="preserve"> </w:t>
      </w:r>
      <w:r w:rsidR="002A58CD" w:rsidRPr="00DD61C0">
        <w:rPr>
          <w:lang w:val="en-GB"/>
        </w:rPr>
        <w:t xml:space="preserve">within a lecture for Czech criminal judges in October 2024, and plan to further address </w:t>
      </w:r>
      <w:r w:rsidR="00D945BD" w:rsidRPr="00DD61C0">
        <w:rPr>
          <w:lang w:val="en-GB"/>
        </w:rPr>
        <w:t>both judgments</w:t>
      </w:r>
      <w:r w:rsidR="00E80987" w:rsidRPr="00DD61C0">
        <w:rPr>
          <w:lang w:val="en-GB"/>
        </w:rPr>
        <w:t xml:space="preserve"> in the framework of regular training</w:t>
      </w:r>
      <w:r w:rsidR="00B80AB8" w:rsidRPr="00DD61C0">
        <w:rPr>
          <w:lang w:val="en-GB"/>
        </w:rPr>
        <w:t>s</w:t>
      </w:r>
      <w:r w:rsidR="00E80987" w:rsidRPr="00DD61C0">
        <w:rPr>
          <w:lang w:val="en-GB"/>
        </w:rPr>
        <w:t xml:space="preserve"> </w:t>
      </w:r>
      <w:r w:rsidR="002A58CD" w:rsidRPr="00DD61C0">
        <w:rPr>
          <w:lang w:val="en-GB"/>
        </w:rPr>
        <w:t xml:space="preserve">for judges </w:t>
      </w:r>
      <w:r w:rsidR="00E80987" w:rsidRPr="00DD61C0">
        <w:rPr>
          <w:lang w:val="en-GB"/>
        </w:rPr>
        <w:t xml:space="preserve">provided </w:t>
      </w:r>
      <w:r w:rsidR="00B14E86" w:rsidRPr="00DD61C0">
        <w:rPr>
          <w:lang w:val="en-GB"/>
        </w:rPr>
        <w:t xml:space="preserve">mainly </w:t>
      </w:r>
      <w:r w:rsidR="002A58CD" w:rsidRPr="00DD61C0">
        <w:rPr>
          <w:lang w:val="en-GB"/>
        </w:rPr>
        <w:t>under the auspices of Judicial Academy</w:t>
      </w:r>
      <w:r w:rsidR="00B14E86" w:rsidRPr="00DD61C0">
        <w:rPr>
          <w:lang w:val="en-GB"/>
        </w:rPr>
        <w:t>, i.e. within the seminar for the judges of the Supreme Court scheduled for September 2025, as well as the lecture for criminal judges planned for November 2025.</w:t>
      </w:r>
    </w:p>
    <w:p w14:paraId="4B966A60" w14:textId="3C0991F0" w:rsidR="00CA0A7C" w:rsidRPr="00DD61C0" w:rsidRDefault="002A58CD" w:rsidP="00CA0A7C">
      <w:pPr>
        <w:pStyle w:val="Textodstavce"/>
        <w:rPr>
          <w:szCs w:val="24"/>
          <w:lang w:val="en-GB"/>
        </w:rPr>
      </w:pPr>
      <w:r w:rsidRPr="00DD61C0">
        <w:rPr>
          <w:lang w:val="en-GB"/>
        </w:rPr>
        <w:t xml:space="preserve">Furthermore, </w:t>
      </w:r>
      <w:r w:rsidR="00D945BD" w:rsidRPr="00DD61C0">
        <w:rPr>
          <w:lang w:val="en-GB"/>
        </w:rPr>
        <w:t>in March 2025</w:t>
      </w:r>
      <w:r w:rsidR="003A4747" w:rsidRPr="00DD61C0">
        <w:rPr>
          <w:lang w:val="en-GB"/>
        </w:rPr>
        <w:t xml:space="preserve">, </w:t>
      </w:r>
      <w:r w:rsidR="00B60BAA" w:rsidRPr="00DD61C0">
        <w:rPr>
          <w:lang w:val="en-GB"/>
        </w:rPr>
        <w:t>the Government Agent’s Office p</w:t>
      </w:r>
      <w:r w:rsidR="00823F3E" w:rsidRPr="00DD61C0">
        <w:rPr>
          <w:lang w:val="en-GB"/>
        </w:rPr>
        <w:t>ublish</w:t>
      </w:r>
      <w:r w:rsidR="00D945BD" w:rsidRPr="00DD61C0">
        <w:rPr>
          <w:lang w:val="en-GB"/>
        </w:rPr>
        <w:t>ed</w:t>
      </w:r>
      <w:r w:rsidR="00B60BAA" w:rsidRPr="00DD61C0">
        <w:rPr>
          <w:lang w:val="en-GB"/>
        </w:rPr>
        <w:t xml:space="preserve"> a </w:t>
      </w:r>
      <w:hyperlink r:id="rId21" w:history="1">
        <w:r w:rsidR="00B60BAA" w:rsidRPr="00DD61C0">
          <w:rPr>
            <w:rStyle w:val="Hypertextovodkaz"/>
            <w:lang w:val="en-GB"/>
          </w:rPr>
          <w:t>Key Theme</w:t>
        </w:r>
      </w:hyperlink>
      <w:r w:rsidR="00B60BAA" w:rsidRPr="00DD61C0">
        <w:rPr>
          <w:lang w:val="en-GB"/>
        </w:rPr>
        <w:t xml:space="preserve"> on the topic of the sexual violence. It include</w:t>
      </w:r>
      <w:r w:rsidR="00D945BD" w:rsidRPr="00DD61C0">
        <w:rPr>
          <w:lang w:val="en-GB"/>
        </w:rPr>
        <w:t>s</w:t>
      </w:r>
      <w:r w:rsidR="00B60BAA" w:rsidRPr="00DD61C0">
        <w:rPr>
          <w:lang w:val="en-GB"/>
        </w:rPr>
        <w:t xml:space="preserve"> an overview of general principles arising from the Court’s case-law concerning criminalisation, </w:t>
      </w:r>
      <w:r w:rsidR="0004701D" w:rsidRPr="00DD61C0">
        <w:rPr>
          <w:lang w:val="en-GB"/>
        </w:rPr>
        <w:t xml:space="preserve">investigation, </w:t>
      </w:r>
      <w:r w:rsidR="00B60BAA" w:rsidRPr="00DD61C0">
        <w:rPr>
          <w:lang w:val="en-GB"/>
        </w:rPr>
        <w:t xml:space="preserve">prosecution and punishment of sexual offences, as well as of relevant domestic </w:t>
      </w:r>
      <w:r w:rsidR="0004701D" w:rsidRPr="00DD61C0">
        <w:rPr>
          <w:lang w:val="en-GB"/>
        </w:rPr>
        <w:t>jurisprudence</w:t>
      </w:r>
      <w:r w:rsidR="00B60BAA" w:rsidRPr="00DD61C0">
        <w:rPr>
          <w:lang w:val="en-GB"/>
        </w:rPr>
        <w:t xml:space="preserve">. This material </w:t>
      </w:r>
      <w:r w:rsidR="00D945BD" w:rsidRPr="00DD61C0">
        <w:rPr>
          <w:lang w:val="en-GB"/>
        </w:rPr>
        <w:t>is</w:t>
      </w:r>
      <w:r w:rsidR="00B60BAA" w:rsidRPr="00DD61C0">
        <w:rPr>
          <w:lang w:val="en-GB"/>
        </w:rPr>
        <w:t xml:space="preserve"> </w:t>
      </w:r>
      <w:r w:rsidR="00823F3E" w:rsidRPr="00DD61C0">
        <w:rPr>
          <w:lang w:val="en-GB"/>
        </w:rPr>
        <w:t>available</w:t>
      </w:r>
      <w:r w:rsidR="00B60BAA" w:rsidRPr="00DD61C0">
        <w:rPr>
          <w:lang w:val="en-GB"/>
        </w:rPr>
        <w:t xml:space="preserve"> online </w:t>
      </w:r>
      <w:r w:rsidR="0004701D" w:rsidRPr="00DD61C0">
        <w:rPr>
          <w:lang w:val="en-GB"/>
        </w:rPr>
        <w:t>and</w:t>
      </w:r>
      <w:r w:rsidR="00B60BAA" w:rsidRPr="00DD61C0">
        <w:rPr>
          <w:lang w:val="en-GB"/>
        </w:rPr>
        <w:t xml:space="preserve"> </w:t>
      </w:r>
      <w:r w:rsidR="00D945BD" w:rsidRPr="00DD61C0">
        <w:rPr>
          <w:lang w:val="en-GB"/>
        </w:rPr>
        <w:t xml:space="preserve">was </w:t>
      </w:r>
      <w:r w:rsidR="00B60BAA" w:rsidRPr="00DD61C0">
        <w:rPr>
          <w:lang w:val="en-GB"/>
        </w:rPr>
        <w:t>transmitted to all relevant domestic bodies so that they are aware to what aspects they should pay particular attention</w:t>
      </w:r>
      <w:r w:rsidR="00D945BD" w:rsidRPr="00DD61C0">
        <w:rPr>
          <w:lang w:val="en-GB"/>
        </w:rPr>
        <w:t>.</w:t>
      </w:r>
      <w:r w:rsidR="00CA0A7C" w:rsidRPr="00DD61C0">
        <w:rPr>
          <w:lang w:val="en-GB"/>
        </w:rPr>
        <w:t xml:space="preserve"> Moreover, </w:t>
      </w:r>
      <w:r w:rsidR="00CA0A7C" w:rsidRPr="00DD61C0">
        <w:rPr>
          <w:szCs w:val="24"/>
          <w:lang w:val="en-GB"/>
        </w:rPr>
        <w:t>by the end of 2026, the Office of the Government Agent will publish an updated version of this Key Theme.</w:t>
      </w:r>
    </w:p>
    <w:bookmarkEnd w:id="3"/>
    <w:p w14:paraId="2BCB7DFB" w14:textId="77777777" w:rsidR="00AF3177" w:rsidRPr="00DD61C0" w:rsidRDefault="00AF3177" w:rsidP="00242A3B">
      <w:pPr>
        <w:pStyle w:val="Nadpissti"/>
        <w:spacing w:before="360"/>
        <w:rPr>
          <w:lang w:val="en-GB"/>
        </w:rPr>
      </w:pPr>
      <w:r w:rsidRPr="00DD61C0">
        <w:rPr>
          <w:lang w:val="en-GB"/>
        </w:rPr>
        <w:t xml:space="preserve">III. </w:t>
      </w:r>
      <w:r w:rsidR="00593E3E" w:rsidRPr="00DD61C0">
        <w:rPr>
          <w:lang w:val="en-GB"/>
        </w:rPr>
        <w:t>Conclusion</w:t>
      </w:r>
    </w:p>
    <w:p w14:paraId="748A7123" w14:textId="77777777" w:rsidR="002149C0" w:rsidRPr="00DD61C0" w:rsidRDefault="00CC7591" w:rsidP="00CA0A7C">
      <w:pPr>
        <w:pStyle w:val="Textodstavce"/>
        <w:rPr>
          <w:lang w:val="en-GB"/>
        </w:rPr>
      </w:pPr>
      <w:proofErr w:type="gramStart"/>
      <w:r w:rsidRPr="00DD61C0">
        <w:rPr>
          <w:lang w:val="en-GB"/>
        </w:rPr>
        <w:t>On the basis of</w:t>
      </w:r>
      <w:proofErr w:type="gramEnd"/>
      <w:r w:rsidRPr="00DD61C0">
        <w:rPr>
          <w:lang w:val="en-GB"/>
        </w:rPr>
        <w:t xml:space="preserve"> the above, t</w:t>
      </w:r>
      <w:r w:rsidR="00593E3E" w:rsidRPr="00DD61C0">
        <w:rPr>
          <w:lang w:val="en-GB"/>
        </w:rPr>
        <w:t xml:space="preserve">he Government of the Czech Republic </w:t>
      </w:r>
      <w:r w:rsidRPr="00DD61C0">
        <w:rPr>
          <w:lang w:val="en-GB"/>
        </w:rPr>
        <w:t xml:space="preserve">are of the opinion that the </w:t>
      </w:r>
      <w:bookmarkStart w:id="4" w:name="_Hlk208508320"/>
      <w:r w:rsidRPr="00DD61C0">
        <w:rPr>
          <w:lang w:val="en-GB"/>
        </w:rPr>
        <w:t>general measures taken</w:t>
      </w:r>
      <w:r w:rsidR="00E42709" w:rsidRPr="00DD61C0">
        <w:rPr>
          <w:lang w:val="en-GB"/>
        </w:rPr>
        <w:t xml:space="preserve"> to execute the judgments in question</w:t>
      </w:r>
      <w:r w:rsidRPr="00DD61C0">
        <w:rPr>
          <w:lang w:val="en-GB"/>
        </w:rPr>
        <w:t xml:space="preserve"> are sufficient</w:t>
      </w:r>
      <w:bookmarkEnd w:id="4"/>
      <w:r w:rsidR="000431B1" w:rsidRPr="00DD61C0">
        <w:rPr>
          <w:lang w:val="en-GB"/>
        </w:rPr>
        <w:t xml:space="preserve">. </w:t>
      </w:r>
    </w:p>
    <w:p w14:paraId="242B2C28" w14:textId="163118A0" w:rsidR="00CA0A7C" w:rsidRPr="009B334C" w:rsidRDefault="000431B1" w:rsidP="00CA0A7C">
      <w:pPr>
        <w:pStyle w:val="Textodstavce"/>
        <w:rPr>
          <w:lang w:val="en-GB"/>
        </w:rPr>
      </w:pPr>
      <w:r w:rsidRPr="00DD61C0">
        <w:rPr>
          <w:lang w:val="en-GB"/>
        </w:rPr>
        <w:t>As for the individual measures, the Governmen</w:t>
      </w:r>
      <w:r w:rsidR="00CA0A7C" w:rsidRPr="00DD61C0">
        <w:rPr>
          <w:lang w:val="en-GB"/>
        </w:rPr>
        <w:t>t will provide the Committee of Ministers with an updated action plan or action re</w:t>
      </w:r>
      <w:r w:rsidR="001F0E0D" w:rsidRPr="00DD61C0">
        <w:rPr>
          <w:lang w:val="en-GB"/>
        </w:rPr>
        <w:t>port, depending on the progress of the renewed criminal proceedings</w:t>
      </w:r>
      <w:r w:rsidR="00E42709" w:rsidRPr="00DD61C0">
        <w:rPr>
          <w:lang w:val="en-GB"/>
        </w:rPr>
        <w:t xml:space="preserve"> in both cases</w:t>
      </w:r>
      <w:r w:rsidR="00CA0A7C" w:rsidRPr="00DD61C0">
        <w:rPr>
          <w:lang w:val="en-GB"/>
        </w:rPr>
        <w:t>, by 30 September 2027.</w:t>
      </w:r>
      <w:r w:rsidR="00CA0A7C" w:rsidRPr="009B334C">
        <w:rPr>
          <w:lang w:val="en-GB"/>
        </w:rPr>
        <w:t xml:space="preserve"> </w:t>
      </w:r>
    </w:p>
    <w:p w14:paraId="6317D3F4" w14:textId="77777777" w:rsidR="00CA0A7C" w:rsidRPr="009B334C" w:rsidRDefault="00CA0A7C" w:rsidP="00601505">
      <w:pPr>
        <w:pStyle w:val="Textodstavce"/>
        <w:rPr>
          <w:lang w:val="en-GB"/>
        </w:rPr>
      </w:pPr>
    </w:p>
    <w:sectPr w:rsidR="00CA0A7C" w:rsidRPr="009B334C">
      <w:footerReference w:type="even" r:id="rId22"/>
      <w:footerReference w:type="default" r:id="rId23"/>
      <w:pgSz w:w="11906" w:h="16838"/>
      <w:pgMar w:top="1417" w:right="1417" w:bottom="1417" w:left="1417"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DC88E" w14:textId="77777777" w:rsidR="000B5AB6" w:rsidRDefault="000B5AB6">
      <w:r>
        <w:separator/>
      </w:r>
    </w:p>
  </w:endnote>
  <w:endnote w:type="continuationSeparator" w:id="0">
    <w:p w14:paraId="7415DC60" w14:textId="77777777" w:rsidR="000B5AB6" w:rsidRDefault="000B5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3B3C" w14:textId="77777777" w:rsidR="00623053" w:rsidRDefault="0062305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2F3A53F9" w14:textId="77777777" w:rsidR="00623053" w:rsidRDefault="0062305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EFA66" w14:textId="6A5030F1" w:rsidR="00623053" w:rsidRDefault="00623053">
    <w:pPr>
      <w:pStyle w:val="Zpat"/>
      <w:jc w:val="center"/>
    </w:pPr>
    <w:r>
      <w:t xml:space="preserve">— </w:t>
    </w:r>
    <w:r>
      <w:rPr>
        <w:rStyle w:val="slostrnky"/>
      </w:rPr>
      <w:fldChar w:fldCharType="begin"/>
    </w:r>
    <w:r>
      <w:rPr>
        <w:rStyle w:val="slostrnky"/>
      </w:rPr>
      <w:instrText xml:space="preserve"> PAGE </w:instrText>
    </w:r>
    <w:r>
      <w:rPr>
        <w:rStyle w:val="slostrnky"/>
      </w:rPr>
      <w:fldChar w:fldCharType="separate"/>
    </w:r>
    <w:r w:rsidR="007E4E45">
      <w:rPr>
        <w:rStyle w:val="slostrnky"/>
        <w:noProof/>
      </w:rPr>
      <w:t>2</w:t>
    </w:r>
    <w:r>
      <w:rPr>
        <w:rStyle w:val="slostrnky"/>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0661B" w14:textId="77777777" w:rsidR="000B5AB6" w:rsidRDefault="000B5AB6">
      <w:r>
        <w:separator/>
      </w:r>
    </w:p>
  </w:footnote>
  <w:footnote w:type="continuationSeparator" w:id="0">
    <w:p w14:paraId="6857268E" w14:textId="77777777" w:rsidR="000B5AB6" w:rsidRDefault="000B5AB6">
      <w:r>
        <w:continuationSeparator/>
      </w:r>
    </w:p>
  </w:footnote>
  <w:footnote w:id="1">
    <w:p w14:paraId="0D5A0B89" w14:textId="1FC5CC1A" w:rsidR="00623053" w:rsidRPr="00E1497F" w:rsidRDefault="00623053" w:rsidP="00E1497F">
      <w:pPr>
        <w:pStyle w:val="Textpoznpodarou"/>
        <w:spacing w:after="120"/>
        <w:jc w:val="both"/>
        <w:rPr>
          <w:lang w:val="en-GB"/>
        </w:rPr>
      </w:pPr>
      <w:r w:rsidRPr="00E1497F">
        <w:rPr>
          <w:rStyle w:val="Znakapoznpodarou"/>
          <w:lang w:val="en-GB"/>
        </w:rPr>
        <w:footnoteRef/>
      </w:r>
      <w:r w:rsidRPr="00E1497F">
        <w:rPr>
          <w:lang w:val="en-GB"/>
        </w:rPr>
        <w:t xml:space="preserve"> Details about the payment</w:t>
      </w:r>
      <w:r>
        <w:rPr>
          <w:lang w:val="en-GB"/>
        </w:rPr>
        <w:t>s</w:t>
      </w:r>
      <w:r w:rsidRPr="00E1497F">
        <w:rPr>
          <w:lang w:val="en-GB"/>
        </w:rPr>
        <w:t xml:space="preserve"> could be requested from the Office of the Czech Government Agent.</w:t>
      </w:r>
    </w:p>
  </w:footnote>
  <w:footnote w:id="2">
    <w:p w14:paraId="39F02E84" w14:textId="19E29D73" w:rsidR="00623053" w:rsidRPr="00E1497F" w:rsidRDefault="00623053" w:rsidP="00E1497F">
      <w:pPr>
        <w:pStyle w:val="Default"/>
        <w:spacing w:after="120"/>
        <w:jc w:val="both"/>
        <w:rPr>
          <w:sz w:val="20"/>
          <w:szCs w:val="20"/>
          <w:lang w:val="en-GB"/>
        </w:rPr>
      </w:pPr>
      <w:r w:rsidRPr="00E1497F">
        <w:rPr>
          <w:rStyle w:val="Znakapoznpodarou"/>
          <w:sz w:val="20"/>
          <w:szCs w:val="20"/>
          <w:lang w:val="en-GB"/>
        </w:rPr>
        <w:footnoteRef/>
      </w:r>
      <w:r w:rsidRPr="00E1497F">
        <w:rPr>
          <w:sz w:val="20"/>
          <w:szCs w:val="20"/>
          <w:lang w:val="en-GB"/>
        </w:rPr>
        <w:t xml:space="preserve"> Section 119 of the Constitutional Court Act as amended by Act no. 404/2012 provides, </w:t>
      </w:r>
      <w:r w:rsidRPr="00E1497F">
        <w:rPr>
          <w:i/>
          <w:iCs/>
          <w:sz w:val="20"/>
          <w:szCs w:val="20"/>
          <w:lang w:val="en-GB"/>
        </w:rPr>
        <w:t>inter alia</w:t>
      </w:r>
      <w:r w:rsidRPr="00E1497F">
        <w:rPr>
          <w:sz w:val="20"/>
          <w:szCs w:val="20"/>
          <w:lang w:val="en-GB"/>
        </w:rPr>
        <w:t xml:space="preserve">, that if the Constitutional Court has previously ruled in a case in which an international court finds a violation of human rights or fundamental freedoms guaranteed by an international treaty, it is possible to file a request for reopening of the proceedings in which the ruling was given. Section 119b provides, </w:t>
      </w:r>
      <w:r w:rsidRPr="00E1497F">
        <w:rPr>
          <w:i/>
          <w:iCs/>
          <w:sz w:val="20"/>
          <w:szCs w:val="20"/>
          <w:lang w:val="en-GB"/>
        </w:rPr>
        <w:t>inter alia</w:t>
      </w:r>
      <w:r w:rsidRPr="00E1497F">
        <w:rPr>
          <w:sz w:val="20"/>
          <w:szCs w:val="20"/>
          <w:lang w:val="en-GB"/>
        </w:rPr>
        <w:t>, that if Constitutional Court’s previous judgment (</w:t>
      </w:r>
      <w:proofErr w:type="spellStart"/>
      <w:r w:rsidRPr="00E1497F">
        <w:rPr>
          <w:i/>
          <w:iCs/>
          <w:sz w:val="20"/>
          <w:szCs w:val="20"/>
          <w:lang w:val="en-GB"/>
        </w:rPr>
        <w:t>nález</w:t>
      </w:r>
      <w:proofErr w:type="spellEnd"/>
      <w:r w:rsidRPr="00E1497F">
        <w:rPr>
          <w:sz w:val="20"/>
          <w:szCs w:val="20"/>
          <w:lang w:val="en-GB"/>
        </w:rPr>
        <w:t xml:space="preserve">) was inconsistent with the decision adopted by the international court, it must set it aside. If the Constitutional Court sets aside its judgment, it deals anew with the original constitutional </w:t>
      </w:r>
      <w:proofErr w:type="gramStart"/>
      <w:r w:rsidRPr="00E1497F">
        <w:rPr>
          <w:sz w:val="20"/>
          <w:szCs w:val="20"/>
          <w:lang w:val="en-GB"/>
        </w:rPr>
        <w:t>appeal</w:t>
      </w:r>
      <w:proofErr w:type="gramEnd"/>
      <w:r w:rsidRPr="00E1497F">
        <w:rPr>
          <w:sz w:val="20"/>
          <w:szCs w:val="20"/>
          <w:lang w:val="en-GB"/>
        </w:rPr>
        <w:t xml:space="preserve"> and the new judgment should be based on the legal opinion of the international court.</w:t>
      </w:r>
    </w:p>
  </w:footnote>
  <w:footnote w:id="3">
    <w:p w14:paraId="71D238CB" w14:textId="5BAF5BB2" w:rsidR="00623053" w:rsidRPr="00E1497F" w:rsidRDefault="00623053" w:rsidP="00E1497F">
      <w:pPr>
        <w:pStyle w:val="Textpoznpodarou"/>
        <w:spacing w:after="120"/>
        <w:jc w:val="both"/>
      </w:pPr>
      <w:r w:rsidRPr="00E1497F">
        <w:rPr>
          <w:rStyle w:val="Znakapoznpodarou"/>
        </w:rPr>
        <w:footnoteRef/>
      </w:r>
      <w:r w:rsidRPr="00E1497F">
        <w:t xml:space="preserve"> </w:t>
      </w:r>
      <w:r w:rsidRPr="00E1497F">
        <w:rPr>
          <w:lang w:val="en-GB"/>
        </w:rPr>
        <w:t>In June 2024 the Ministry of Justice officially launched a new website (</w:t>
      </w:r>
      <w:hyperlink r:id="rId1" w:history="1">
        <w:r w:rsidRPr="00E1497F">
          <w:rPr>
            <w:rStyle w:val="Hypertextovodkaz"/>
          </w:rPr>
          <w:t>https://mezisoudy.cz/</w:t>
        </w:r>
      </w:hyperlink>
      <w:r w:rsidRPr="00E1497F">
        <w:rPr>
          <w:lang w:val="en-GB"/>
        </w:rPr>
        <w:t xml:space="preserve">) dedicated to international protection of human rights. The website is run by the Government Agent’s Office. It includes a database, which provides access to the case-law of the Court. The database contains all the judgments of the Court in the language in which the Court issued them. Above that, </w:t>
      </w:r>
      <w:r>
        <w:rPr>
          <w:lang w:val="en-GB"/>
        </w:rPr>
        <w:t>t</w:t>
      </w:r>
      <w:r w:rsidRPr="00E1497F">
        <w:rPr>
          <w:lang w:val="en-GB"/>
        </w:rPr>
        <w:t>he database contains translations of all judgments of the Court against the Czech Republic, hundreds of translations of the most important judgments of the Court delivered against other States and more than 1 700 legal summaries compiled in the Czech language of other relevant and significant judgments and decisions of the Court. The database also connects the case-law of the Court with the case-law of the Constitutional Court of the Czech Republic and the jurisprudence of the European Committee on Social Rights and United Nations Treaty Bodies.</w:t>
      </w:r>
    </w:p>
  </w:footnote>
  <w:footnote w:id="4">
    <w:p w14:paraId="07C909A3" w14:textId="77777777" w:rsidR="00623053" w:rsidRPr="00E1497F" w:rsidRDefault="00623053" w:rsidP="00E1497F">
      <w:pPr>
        <w:pStyle w:val="Textpoznpodarou"/>
        <w:spacing w:after="120"/>
        <w:jc w:val="both"/>
        <w:rPr>
          <w:lang w:val="en-GB"/>
        </w:rPr>
      </w:pPr>
      <w:r w:rsidRPr="00E1497F">
        <w:rPr>
          <w:rStyle w:val="Znakapoznpodarou"/>
          <w:lang w:val="en-GB"/>
        </w:rPr>
        <w:footnoteRef/>
      </w:r>
      <w:r w:rsidRPr="00E1497F">
        <w:rPr>
          <w:lang w:val="en-GB"/>
        </w:rPr>
        <w:t xml:space="preserve"> Established as a follow-up to the obligation to reinforce the implementation of the Convention at the national level agreed by and between the Contracting Parties to the Convention at the High-level Conference on the “Implementation of the European Convention on Human Rights, our shared responsibility” of 27 March 2015, it is the Government Agent’s advisory body which serves as a forum for analysing and formulating recommendations to the authorities in terms of suitable measures to be adopted for the purpose of implementing the Court’s judgments. It is composed of representatives of all ministries, both Chambers of Parliament, highest courts, Office of the Supreme Public Prosecutor, Office of the Public Defender of Rights, academic staff and members of various NGOs operating in the field of fundamental human rights.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822D9"/>
    <w:multiLevelType w:val="hybridMultilevel"/>
    <w:tmpl w:val="496C29B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 w15:restartNumberingAfterBreak="0">
    <w:nsid w:val="248A72EE"/>
    <w:multiLevelType w:val="hybridMultilevel"/>
    <w:tmpl w:val="AF780C9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 w15:restartNumberingAfterBreak="0">
    <w:nsid w:val="38733FED"/>
    <w:multiLevelType w:val="hybridMultilevel"/>
    <w:tmpl w:val="468A7712"/>
    <w:lvl w:ilvl="0" w:tplc="781E91A0">
      <w:start w:val="1"/>
      <w:numFmt w:val="decimal"/>
      <w:pStyle w:val="Stanovisko-text"/>
      <w:lvlText w:val="%1."/>
      <w:lvlJc w:val="left"/>
      <w:pPr>
        <w:tabs>
          <w:tab w:val="num" w:pos="644"/>
        </w:tabs>
        <w:ind w:left="0" w:firstLine="284"/>
      </w:pPr>
      <w:rPr>
        <w:rFonts w:hint="default"/>
        <w:i w:val="0"/>
      </w:rPr>
    </w:lvl>
    <w:lvl w:ilvl="1" w:tplc="16F2CA20">
      <w:start w:val="1"/>
      <w:numFmt w:val="upperLetter"/>
      <w:lvlText w:val="%2."/>
      <w:lvlJc w:val="left"/>
      <w:pPr>
        <w:tabs>
          <w:tab w:val="num" w:pos="1440"/>
        </w:tabs>
        <w:ind w:left="1440" w:hanging="360"/>
      </w:pPr>
      <w:rPr>
        <w:rFonts w:hint="default"/>
      </w:rPr>
    </w:lvl>
    <w:lvl w:ilvl="2" w:tplc="F1000DDC">
      <w:start w:val="1"/>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47F65B2D"/>
    <w:multiLevelType w:val="hybridMultilevel"/>
    <w:tmpl w:val="4B0EC67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5FDA0409"/>
    <w:multiLevelType w:val="hybridMultilevel"/>
    <w:tmpl w:val="E63E836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 w15:restartNumberingAfterBreak="0">
    <w:nsid w:val="6D16338F"/>
    <w:multiLevelType w:val="hybridMultilevel"/>
    <w:tmpl w:val="A31867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342201011">
    <w:abstractNumId w:val="1"/>
  </w:num>
  <w:num w:numId="2" w16cid:durableId="426734587">
    <w:abstractNumId w:val="3"/>
  </w:num>
  <w:num w:numId="3" w16cid:durableId="1500077961">
    <w:abstractNumId w:val="5"/>
  </w:num>
  <w:num w:numId="4" w16cid:durableId="1825470335">
    <w:abstractNumId w:val="4"/>
  </w:num>
  <w:num w:numId="5" w16cid:durableId="1952978509">
    <w:abstractNumId w:val="2"/>
  </w:num>
  <w:num w:numId="6" w16cid:durableId="10353519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E3"/>
    <w:rsid w:val="0000296A"/>
    <w:rsid w:val="00033AB8"/>
    <w:rsid w:val="00034F60"/>
    <w:rsid w:val="00035B28"/>
    <w:rsid w:val="00040011"/>
    <w:rsid w:val="000431B1"/>
    <w:rsid w:val="0004395D"/>
    <w:rsid w:val="00045D70"/>
    <w:rsid w:val="00045F7A"/>
    <w:rsid w:val="0004701D"/>
    <w:rsid w:val="000623A9"/>
    <w:rsid w:val="0007253E"/>
    <w:rsid w:val="000805F7"/>
    <w:rsid w:val="00081162"/>
    <w:rsid w:val="00081F92"/>
    <w:rsid w:val="00083A29"/>
    <w:rsid w:val="00084BF3"/>
    <w:rsid w:val="00090FF4"/>
    <w:rsid w:val="000910F0"/>
    <w:rsid w:val="000928E3"/>
    <w:rsid w:val="000B04F0"/>
    <w:rsid w:val="000B3112"/>
    <w:rsid w:val="000B5AB6"/>
    <w:rsid w:val="000C5F0A"/>
    <w:rsid w:val="000D5CDD"/>
    <w:rsid w:val="000F1648"/>
    <w:rsid w:val="000F50A5"/>
    <w:rsid w:val="000F5680"/>
    <w:rsid w:val="001144CE"/>
    <w:rsid w:val="001250CC"/>
    <w:rsid w:val="001430D5"/>
    <w:rsid w:val="00155D59"/>
    <w:rsid w:val="00157FA4"/>
    <w:rsid w:val="00163FCE"/>
    <w:rsid w:val="0017283F"/>
    <w:rsid w:val="00184CF5"/>
    <w:rsid w:val="00186617"/>
    <w:rsid w:val="00190D85"/>
    <w:rsid w:val="00193392"/>
    <w:rsid w:val="00195B9F"/>
    <w:rsid w:val="00197CFB"/>
    <w:rsid w:val="001A1361"/>
    <w:rsid w:val="001A2919"/>
    <w:rsid w:val="001B1452"/>
    <w:rsid w:val="001B4DF5"/>
    <w:rsid w:val="001C1FE2"/>
    <w:rsid w:val="001C508D"/>
    <w:rsid w:val="001C7743"/>
    <w:rsid w:val="001D0D29"/>
    <w:rsid w:val="001D0EC9"/>
    <w:rsid w:val="001E3B78"/>
    <w:rsid w:val="001F0E0D"/>
    <w:rsid w:val="001F2A97"/>
    <w:rsid w:val="001F60B3"/>
    <w:rsid w:val="0020559D"/>
    <w:rsid w:val="002110D3"/>
    <w:rsid w:val="002149C0"/>
    <w:rsid w:val="00215066"/>
    <w:rsid w:val="0021638C"/>
    <w:rsid w:val="00221F58"/>
    <w:rsid w:val="002357A6"/>
    <w:rsid w:val="002357C9"/>
    <w:rsid w:val="00242A3B"/>
    <w:rsid w:val="00247902"/>
    <w:rsid w:val="002603EC"/>
    <w:rsid w:val="00260BFF"/>
    <w:rsid w:val="0026288C"/>
    <w:rsid w:val="00287B11"/>
    <w:rsid w:val="00297CAE"/>
    <w:rsid w:val="002A58CD"/>
    <w:rsid w:val="002B2115"/>
    <w:rsid w:val="002B6F8A"/>
    <w:rsid w:val="002C04DD"/>
    <w:rsid w:val="002C1F01"/>
    <w:rsid w:val="002C695E"/>
    <w:rsid w:val="002C74F9"/>
    <w:rsid w:val="002D0658"/>
    <w:rsid w:val="002D0DB7"/>
    <w:rsid w:val="002E7876"/>
    <w:rsid w:val="0030061A"/>
    <w:rsid w:val="00300776"/>
    <w:rsid w:val="00314118"/>
    <w:rsid w:val="003435D7"/>
    <w:rsid w:val="003534BB"/>
    <w:rsid w:val="0035744C"/>
    <w:rsid w:val="00372925"/>
    <w:rsid w:val="003741C0"/>
    <w:rsid w:val="003871CD"/>
    <w:rsid w:val="00390030"/>
    <w:rsid w:val="00391F45"/>
    <w:rsid w:val="003949AF"/>
    <w:rsid w:val="003A0CB0"/>
    <w:rsid w:val="003A4747"/>
    <w:rsid w:val="003B5EAF"/>
    <w:rsid w:val="003C7FEB"/>
    <w:rsid w:val="003F6A9A"/>
    <w:rsid w:val="0041431E"/>
    <w:rsid w:val="00414602"/>
    <w:rsid w:val="00415FB3"/>
    <w:rsid w:val="00425D66"/>
    <w:rsid w:val="00432962"/>
    <w:rsid w:val="004341DF"/>
    <w:rsid w:val="00440965"/>
    <w:rsid w:val="00444968"/>
    <w:rsid w:val="00446244"/>
    <w:rsid w:val="004554F1"/>
    <w:rsid w:val="004578AF"/>
    <w:rsid w:val="004600EC"/>
    <w:rsid w:val="00463B41"/>
    <w:rsid w:val="00466B55"/>
    <w:rsid w:val="00495F5C"/>
    <w:rsid w:val="004A1AA8"/>
    <w:rsid w:val="004B666C"/>
    <w:rsid w:val="004B792B"/>
    <w:rsid w:val="004C37DC"/>
    <w:rsid w:val="004C604A"/>
    <w:rsid w:val="004E709C"/>
    <w:rsid w:val="004F52D1"/>
    <w:rsid w:val="004F5B2B"/>
    <w:rsid w:val="00501EFF"/>
    <w:rsid w:val="00510838"/>
    <w:rsid w:val="00513080"/>
    <w:rsid w:val="00524D8D"/>
    <w:rsid w:val="005318E8"/>
    <w:rsid w:val="00554054"/>
    <w:rsid w:val="00554EAD"/>
    <w:rsid w:val="005554ED"/>
    <w:rsid w:val="0055696B"/>
    <w:rsid w:val="00560F12"/>
    <w:rsid w:val="00571000"/>
    <w:rsid w:val="005768EA"/>
    <w:rsid w:val="00577509"/>
    <w:rsid w:val="00593E3E"/>
    <w:rsid w:val="005974D7"/>
    <w:rsid w:val="005A5D82"/>
    <w:rsid w:val="005B4CA1"/>
    <w:rsid w:val="005C1E79"/>
    <w:rsid w:val="005C7C2A"/>
    <w:rsid w:val="005D5FBF"/>
    <w:rsid w:val="005E2BD4"/>
    <w:rsid w:val="005E787B"/>
    <w:rsid w:val="005F0FB6"/>
    <w:rsid w:val="005F4EDC"/>
    <w:rsid w:val="00601505"/>
    <w:rsid w:val="006036E2"/>
    <w:rsid w:val="006036F8"/>
    <w:rsid w:val="0061023B"/>
    <w:rsid w:val="0062057A"/>
    <w:rsid w:val="00623053"/>
    <w:rsid w:val="00625985"/>
    <w:rsid w:val="00634A4E"/>
    <w:rsid w:val="00637052"/>
    <w:rsid w:val="006374E7"/>
    <w:rsid w:val="006413AA"/>
    <w:rsid w:val="006432AD"/>
    <w:rsid w:val="00655F6A"/>
    <w:rsid w:val="006628F3"/>
    <w:rsid w:val="006654DA"/>
    <w:rsid w:val="00665FB0"/>
    <w:rsid w:val="00674CE5"/>
    <w:rsid w:val="00676EAB"/>
    <w:rsid w:val="006A1DD1"/>
    <w:rsid w:val="006A2BA3"/>
    <w:rsid w:val="006B5683"/>
    <w:rsid w:val="006B5A6F"/>
    <w:rsid w:val="006C45F0"/>
    <w:rsid w:val="006D6A07"/>
    <w:rsid w:val="006E0DE6"/>
    <w:rsid w:val="006F1E64"/>
    <w:rsid w:val="006F512E"/>
    <w:rsid w:val="0070589C"/>
    <w:rsid w:val="007241D5"/>
    <w:rsid w:val="007301AC"/>
    <w:rsid w:val="007354F0"/>
    <w:rsid w:val="00735E7A"/>
    <w:rsid w:val="0074706E"/>
    <w:rsid w:val="00750384"/>
    <w:rsid w:val="00750510"/>
    <w:rsid w:val="00780E5A"/>
    <w:rsid w:val="00783797"/>
    <w:rsid w:val="007866EF"/>
    <w:rsid w:val="007946A3"/>
    <w:rsid w:val="007A5FB6"/>
    <w:rsid w:val="007B2C21"/>
    <w:rsid w:val="007B3BBB"/>
    <w:rsid w:val="007B7221"/>
    <w:rsid w:val="007C7262"/>
    <w:rsid w:val="007D61F4"/>
    <w:rsid w:val="007D749C"/>
    <w:rsid w:val="007D7ABB"/>
    <w:rsid w:val="007E4E45"/>
    <w:rsid w:val="007E79E1"/>
    <w:rsid w:val="007F1AB7"/>
    <w:rsid w:val="00800F9C"/>
    <w:rsid w:val="0080464E"/>
    <w:rsid w:val="00811C94"/>
    <w:rsid w:val="00823F3E"/>
    <w:rsid w:val="00824826"/>
    <w:rsid w:val="008529D7"/>
    <w:rsid w:val="008566F0"/>
    <w:rsid w:val="008620B2"/>
    <w:rsid w:val="008671BA"/>
    <w:rsid w:val="008727D0"/>
    <w:rsid w:val="00883446"/>
    <w:rsid w:val="00885A90"/>
    <w:rsid w:val="00894CCD"/>
    <w:rsid w:val="008A5B99"/>
    <w:rsid w:val="008A5E5E"/>
    <w:rsid w:val="008A7B99"/>
    <w:rsid w:val="008D3821"/>
    <w:rsid w:val="008F6B38"/>
    <w:rsid w:val="00902F00"/>
    <w:rsid w:val="00921EEC"/>
    <w:rsid w:val="0092593D"/>
    <w:rsid w:val="0093788D"/>
    <w:rsid w:val="00963D0E"/>
    <w:rsid w:val="00967986"/>
    <w:rsid w:val="00972491"/>
    <w:rsid w:val="009841E3"/>
    <w:rsid w:val="00991798"/>
    <w:rsid w:val="00994C75"/>
    <w:rsid w:val="0099601E"/>
    <w:rsid w:val="009A006B"/>
    <w:rsid w:val="009A22A0"/>
    <w:rsid w:val="009B334C"/>
    <w:rsid w:val="009B44A0"/>
    <w:rsid w:val="009B565C"/>
    <w:rsid w:val="009C20C7"/>
    <w:rsid w:val="009C3CA9"/>
    <w:rsid w:val="009C6622"/>
    <w:rsid w:val="009D1711"/>
    <w:rsid w:val="009E07FE"/>
    <w:rsid w:val="00A05109"/>
    <w:rsid w:val="00A06D4B"/>
    <w:rsid w:val="00A10695"/>
    <w:rsid w:val="00A15A22"/>
    <w:rsid w:val="00A25988"/>
    <w:rsid w:val="00A30046"/>
    <w:rsid w:val="00A347F9"/>
    <w:rsid w:val="00A362D9"/>
    <w:rsid w:val="00A378FC"/>
    <w:rsid w:val="00A57910"/>
    <w:rsid w:val="00A57CA5"/>
    <w:rsid w:val="00A64D7F"/>
    <w:rsid w:val="00A74702"/>
    <w:rsid w:val="00AA2857"/>
    <w:rsid w:val="00AB06F6"/>
    <w:rsid w:val="00AB1570"/>
    <w:rsid w:val="00AB2F7F"/>
    <w:rsid w:val="00AB317E"/>
    <w:rsid w:val="00AC3A5E"/>
    <w:rsid w:val="00AC6FF4"/>
    <w:rsid w:val="00AE7A58"/>
    <w:rsid w:val="00AF2579"/>
    <w:rsid w:val="00AF3177"/>
    <w:rsid w:val="00AF49BE"/>
    <w:rsid w:val="00AF70E9"/>
    <w:rsid w:val="00B02189"/>
    <w:rsid w:val="00B068C6"/>
    <w:rsid w:val="00B10A5C"/>
    <w:rsid w:val="00B113E3"/>
    <w:rsid w:val="00B14E86"/>
    <w:rsid w:val="00B15810"/>
    <w:rsid w:val="00B178F5"/>
    <w:rsid w:val="00B316B0"/>
    <w:rsid w:val="00B37A8A"/>
    <w:rsid w:val="00B44811"/>
    <w:rsid w:val="00B52258"/>
    <w:rsid w:val="00B57F1A"/>
    <w:rsid w:val="00B60BAA"/>
    <w:rsid w:val="00B613BF"/>
    <w:rsid w:val="00B613EC"/>
    <w:rsid w:val="00B62594"/>
    <w:rsid w:val="00B756C6"/>
    <w:rsid w:val="00B80AB8"/>
    <w:rsid w:val="00BA200A"/>
    <w:rsid w:val="00BB040E"/>
    <w:rsid w:val="00BB26F4"/>
    <w:rsid w:val="00BC0AB0"/>
    <w:rsid w:val="00BD6185"/>
    <w:rsid w:val="00BE20E0"/>
    <w:rsid w:val="00BE34B2"/>
    <w:rsid w:val="00BE6094"/>
    <w:rsid w:val="00BF0180"/>
    <w:rsid w:val="00BF31BA"/>
    <w:rsid w:val="00C001AF"/>
    <w:rsid w:val="00C0063E"/>
    <w:rsid w:val="00C03F7C"/>
    <w:rsid w:val="00C0779A"/>
    <w:rsid w:val="00C145DE"/>
    <w:rsid w:val="00C24AB0"/>
    <w:rsid w:val="00C256E7"/>
    <w:rsid w:val="00C44853"/>
    <w:rsid w:val="00C50BBA"/>
    <w:rsid w:val="00C51F93"/>
    <w:rsid w:val="00C638F6"/>
    <w:rsid w:val="00C64156"/>
    <w:rsid w:val="00C64448"/>
    <w:rsid w:val="00C73CFE"/>
    <w:rsid w:val="00CA0A7C"/>
    <w:rsid w:val="00CB4538"/>
    <w:rsid w:val="00CC7591"/>
    <w:rsid w:val="00CE292B"/>
    <w:rsid w:val="00D01289"/>
    <w:rsid w:val="00D151AD"/>
    <w:rsid w:val="00D1593B"/>
    <w:rsid w:val="00D2504B"/>
    <w:rsid w:val="00D270FA"/>
    <w:rsid w:val="00D37E0E"/>
    <w:rsid w:val="00D43B8F"/>
    <w:rsid w:val="00D65489"/>
    <w:rsid w:val="00D71FEB"/>
    <w:rsid w:val="00D77E4F"/>
    <w:rsid w:val="00D86905"/>
    <w:rsid w:val="00D9401A"/>
    <w:rsid w:val="00D945BD"/>
    <w:rsid w:val="00D96C82"/>
    <w:rsid w:val="00DA034F"/>
    <w:rsid w:val="00DA4D5A"/>
    <w:rsid w:val="00DD26ED"/>
    <w:rsid w:val="00DD61C0"/>
    <w:rsid w:val="00DE19E2"/>
    <w:rsid w:val="00DF1156"/>
    <w:rsid w:val="00E02F59"/>
    <w:rsid w:val="00E03D56"/>
    <w:rsid w:val="00E0449F"/>
    <w:rsid w:val="00E0710B"/>
    <w:rsid w:val="00E1497F"/>
    <w:rsid w:val="00E15047"/>
    <w:rsid w:val="00E16820"/>
    <w:rsid w:val="00E30530"/>
    <w:rsid w:val="00E33E4D"/>
    <w:rsid w:val="00E358F0"/>
    <w:rsid w:val="00E36292"/>
    <w:rsid w:val="00E42709"/>
    <w:rsid w:val="00E467ED"/>
    <w:rsid w:val="00E50319"/>
    <w:rsid w:val="00E5162D"/>
    <w:rsid w:val="00E61812"/>
    <w:rsid w:val="00E63506"/>
    <w:rsid w:val="00E72709"/>
    <w:rsid w:val="00E80987"/>
    <w:rsid w:val="00E80A5D"/>
    <w:rsid w:val="00E81945"/>
    <w:rsid w:val="00E97A38"/>
    <w:rsid w:val="00EA10D8"/>
    <w:rsid w:val="00EA3EAE"/>
    <w:rsid w:val="00EA624D"/>
    <w:rsid w:val="00EB1840"/>
    <w:rsid w:val="00EB3BD0"/>
    <w:rsid w:val="00EB7DA0"/>
    <w:rsid w:val="00ED15F7"/>
    <w:rsid w:val="00ED20A2"/>
    <w:rsid w:val="00EE465F"/>
    <w:rsid w:val="00EE5312"/>
    <w:rsid w:val="00EE740F"/>
    <w:rsid w:val="00F005F8"/>
    <w:rsid w:val="00F0255C"/>
    <w:rsid w:val="00F0760F"/>
    <w:rsid w:val="00F1016B"/>
    <w:rsid w:val="00F21F21"/>
    <w:rsid w:val="00F26BB2"/>
    <w:rsid w:val="00F26CB5"/>
    <w:rsid w:val="00F37BBC"/>
    <w:rsid w:val="00F45416"/>
    <w:rsid w:val="00F6676C"/>
    <w:rsid w:val="00F76FD1"/>
    <w:rsid w:val="00F80F7B"/>
    <w:rsid w:val="00F828E1"/>
    <w:rsid w:val="00FA116F"/>
    <w:rsid w:val="00FA478A"/>
    <w:rsid w:val="00FA5CFC"/>
    <w:rsid w:val="00FB61B2"/>
    <w:rsid w:val="00FB740D"/>
    <w:rsid w:val="00FC71D9"/>
    <w:rsid w:val="00FC7384"/>
    <w:rsid w:val="00FD052E"/>
    <w:rsid w:val="00FD6FE3"/>
    <w:rsid w:val="00FE6256"/>
    <w:rsid w:val="00FE7B91"/>
    <w:rsid w:val="00FF7226"/>
    <w:rsid w:val="00FF793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FEAC9"/>
  <w15:chartTrackingRefBased/>
  <w15:docId w15:val="{B2879A5A-570C-4DA8-AC3D-5E54BB3FB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qFormat/>
    <w:pPr>
      <w:keepNext/>
      <w:outlineLvl w:val="0"/>
    </w:pPr>
    <w:rPr>
      <w:sz w:val="24"/>
    </w:rPr>
  </w:style>
  <w:style w:type="paragraph" w:styleId="Nadpis2">
    <w:name w:val="heading 2"/>
    <w:basedOn w:val="Normln"/>
    <w:next w:val="Normln"/>
    <w:qFormat/>
    <w:pPr>
      <w:keepNext/>
      <w:jc w:val="both"/>
      <w:outlineLvl w:val="1"/>
    </w:pPr>
    <w:rPr>
      <w:sz w:val="24"/>
      <w:u w:val="single"/>
    </w:rPr>
  </w:style>
  <w:style w:type="paragraph" w:styleId="Nadpis3">
    <w:name w:val="heading 3"/>
    <w:basedOn w:val="Normln"/>
    <w:next w:val="Normln"/>
    <w:qFormat/>
    <w:pPr>
      <w:keepNext/>
      <w:jc w:val="both"/>
      <w:outlineLvl w:val="2"/>
    </w:pPr>
    <w:rPr>
      <w:b/>
      <w:bCs/>
      <w:i/>
      <w:iCs/>
      <w:sz w:val="24"/>
    </w:rPr>
  </w:style>
  <w:style w:type="paragraph" w:styleId="Nadpis4">
    <w:name w:val="heading 4"/>
    <w:basedOn w:val="Normln"/>
    <w:next w:val="Normln"/>
    <w:qFormat/>
    <w:pPr>
      <w:keepNext/>
      <w:outlineLvl w:val="3"/>
    </w:pPr>
    <w:rPr>
      <w:sz w:val="24"/>
      <w:u w:val="single"/>
    </w:rPr>
  </w:style>
  <w:style w:type="paragraph" w:styleId="Nadpis5">
    <w:name w:val="heading 5"/>
    <w:basedOn w:val="Normln"/>
    <w:next w:val="Normln"/>
    <w:qFormat/>
    <w:pPr>
      <w:keepNext/>
      <w:jc w:val="center"/>
      <w:outlineLvl w:val="4"/>
    </w:pPr>
    <w:rPr>
      <w:sz w:val="24"/>
    </w:rPr>
  </w:style>
  <w:style w:type="paragraph" w:styleId="Nadpis6">
    <w:name w:val="heading 6"/>
    <w:basedOn w:val="Normln"/>
    <w:next w:val="Normln"/>
    <w:qFormat/>
    <w:pPr>
      <w:keepNext/>
      <w:jc w:val="both"/>
      <w:outlineLvl w:val="5"/>
    </w:pPr>
    <w:rPr>
      <w:b/>
      <w:bCs/>
      <w:sz w:val="24"/>
      <w:u w:val="single"/>
    </w:rPr>
  </w:style>
  <w:style w:type="paragraph" w:styleId="Nadpis7">
    <w:name w:val="heading 7"/>
    <w:basedOn w:val="Normln"/>
    <w:next w:val="Normln"/>
    <w:qFormat/>
    <w:pPr>
      <w:keepNext/>
      <w:outlineLvl w:val="6"/>
    </w:pPr>
    <w:rPr>
      <w:b/>
      <w:bCs/>
      <w:sz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Seznam2">
    <w:name w:val="List 2"/>
    <w:basedOn w:val="Normln"/>
    <w:semiHidden/>
    <w:pPr>
      <w:ind w:left="566" w:hanging="283"/>
    </w:pPr>
  </w:style>
  <w:style w:type="paragraph" w:styleId="Zpat">
    <w:name w:val="footer"/>
    <w:basedOn w:val="Normln"/>
    <w:semiHidden/>
    <w:pPr>
      <w:tabs>
        <w:tab w:val="center" w:pos="4536"/>
        <w:tab w:val="right" w:pos="9072"/>
      </w:tabs>
    </w:pPr>
    <w:rPr>
      <w:sz w:val="24"/>
    </w:rPr>
  </w:style>
  <w:style w:type="character" w:styleId="slostrnky">
    <w:name w:val="page number"/>
    <w:basedOn w:val="Standardnpsmoodstavce"/>
    <w:semiHidden/>
  </w:style>
  <w:style w:type="paragraph" w:styleId="Zhlav">
    <w:name w:val="header"/>
    <w:basedOn w:val="Normln"/>
    <w:semiHidden/>
    <w:pPr>
      <w:tabs>
        <w:tab w:val="center" w:pos="4536"/>
        <w:tab w:val="right" w:pos="9072"/>
      </w:tabs>
    </w:pPr>
  </w:style>
  <w:style w:type="paragraph" w:customStyle="1" w:styleId="Zkladntext21">
    <w:name w:val="Základní text 21"/>
    <w:basedOn w:val="Normln"/>
    <w:pPr>
      <w:ind w:firstLine="708"/>
      <w:jc w:val="both"/>
    </w:pPr>
    <w:rPr>
      <w:sz w:val="24"/>
    </w:rPr>
  </w:style>
  <w:style w:type="paragraph" w:customStyle="1" w:styleId="Zkladntext22">
    <w:name w:val="Základní text 22"/>
    <w:basedOn w:val="Normln"/>
    <w:pPr>
      <w:ind w:left="397"/>
      <w:jc w:val="both"/>
    </w:pPr>
    <w:rPr>
      <w:sz w:val="24"/>
      <w:lang w:val="en-GB"/>
    </w:rPr>
  </w:style>
  <w:style w:type="paragraph" w:styleId="Zkladntext">
    <w:name w:val="Body Text"/>
    <w:basedOn w:val="Normln"/>
    <w:semiHidden/>
    <w:rPr>
      <w:sz w:val="24"/>
    </w:rPr>
  </w:style>
  <w:style w:type="paragraph" w:customStyle="1" w:styleId="Zkladntext23">
    <w:name w:val="Základní text 23"/>
    <w:basedOn w:val="Normln"/>
    <w:pPr>
      <w:jc w:val="both"/>
    </w:pPr>
    <w:rPr>
      <w:sz w:val="24"/>
    </w:rPr>
  </w:style>
  <w:style w:type="paragraph" w:customStyle="1" w:styleId="Zkladntext31">
    <w:name w:val="Základní text 31"/>
    <w:basedOn w:val="Normln"/>
    <w:pPr>
      <w:jc w:val="both"/>
    </w:pPr>
    <w:rPr>
      <w:i/>
      <w:sz w:val="24"/>
    </w:rPr>
  </w:style>
  <w:style w:type="paragraph" w:customStyle="1" w:styleId="Zkladntext24">
    <w:name w:val="Základní text 24"/>
    <w:basedOn w:val="Normln"/>
    <w:pPr>
      <w:ind w:left="142" w:firstLine="567"/>
      <w:jc w:val="both"/>
    </w:pPr>
    <w:rPr>
      <w:sz w:val="24"/>
    </w:rPr>
  </w:style>
  <w:style w:type="paragraph" w:customStyle="1" w:styleId="Zkladntextodsazen31">
    <w:name w:val="Základní text odsazený 31"/>
    <w:basedOn w:val="Normln"/>
    <w:pPr>
      <w:ind w:firstLine="708"/>
      <w:jc w:val="both"/>
    </w:pPr>
    <w:rPr>
      <w:sz w:val="24"/>
    </w:rPr>
  </w:style>
  <w:style w:type="paragraph" w:customStyle="1" w:styleId="Zkladntext25">
    <w:name w:val="Základní text 25"/>
    <w:basedOn w:val="Normln"/>
    <w:pPr>
      <w:tabs>
        <w:tab w:val="left" w:pos="426"/>
      </w:tabs>
      <w:ind w:left="284" w:hanging="284"/>
      <w:jc w:val="both"/>
    </w:pPr>
    <w:rPr>
      <w:sz w:val="24"/>
    </w:rPr>
  </w:style>
  <w:style w:type="paragraph" w:customStyle="1" w:styleId="Zkladntext26">
    <w:name w:val="Základní text 26"/>
    <w:basedOn w:val="Normln"/>
    <w:pPr>
      <w:jc w:val="both"/>
    </w:pPr>
    <w:rPr>
      <w:sz w:val="24"/>
      <w:u w:val="single"/>
    </w:rPr>
  </w:style>
  <w:style w:type="character" w:styleId="Siln">
    <w:name w:val="Strong"/>
    <w:qFormat/>
    <w:rPr>
      <w:b/>
      <w:bCs/>
    </w:rPr>
  </w:style>
  <w:style w:type="paragraph" w:customStyle="1" w:styleId="Nadpishlavn">
    <w:name w:val="Nadpis hlavní"/>
    <w:basedOn w:val="Normln"/>
    <w:rsid w:val="000F1648"/>
    <w:pPr>
      <w:pBdr>
        <w:top w:val="single" w:sz="12" w:space="4" w:color="auto" w:shadow="1"/>
        <w:left w:val="single" w:sz="12" w:space="4" w:color="auto" w:shadow="1"/>
        <w:bottom w:val="single" w:sz="12" w:space="4" w:color="auto" w:shadow="1"/>
        <w:right w:val="single" w:sz="12" w:space="4" w:color="auto" w:shadow="1"/>
      </w:pBdr>
      <w:jc w:val="center"/>
    </w:pPr>
    <w:rPr>
      <w:b/>
      <w:sz w:val="25"/>
    </w:rPr>
  </w:style>
  <w:style w:type="paragraph" w:customStyle="1" w:styleId="Textodstavce">
    <w:name w:val="Text odstavce"/>
    <w:basedOn w:val="Normln"/>
    <w:link w:val="TextodstavceChar"/>
    <w:pPr>
      <w:spacing w:before="120"/>
      <w:ind w:firstLine="709"/>
      <w:jc w:val="both"/>
    </w:pPr>
    <w:rPr>
      <w:sz w:val="24"/>
    </w:rPr>
  </w:style>
  <w:style w:type="paragraph" w:customStyle="1" w:styleId="Nadpissti">
    <w:name w:val="Nadpis části"/>
    <w:basedOn w:val="Textodstavce"/>
    <w:pPr>
      <w:keepNext/>
      <w:keepLines/>
      <w:spacing w:before="640"/>
      <w:ind w:firstLine="0"/>
      <w:jc w:val="center"/>
    </w:pPr>
    <w:rPr>
      <w:b/>
      <w:caps/>
    </w:rPr>
  </w:style>
  <w:style w:type="paragraph" w:customStyle="1" w:styleId="Textpsmena">
    <w:name w:val="Text písmena"/>
    <w:basedOn w:val="Textodstavce"/>
    <w:pPr>
      <w:tabs>
        <w:tab w:val="left" w:pos="284"/>
        <w:tab w:val="left" w:pos="1068"/>
      </w:tabs>
      <w:ind w:left="284" w:hanging="284"/>
    </w:pPr>
  </w:style>
  <w:style w:type="paragraph" w:customStyle="1" w:styleId="Nadpispodsti">
    <w:name w:val="Nadpis podčásti"/>
    <w:basedOn w:val="Nadpissti"/>
    <w:rPr>
      <w:b w:val="0"/>
      <w:bCs/>
      <w:smallCaps/>
      <w:u w:val="single"/>
    </w:rPr>
  </w:style>
  <w:style w:type="paragraph" w:customStyle="1" w:styleId="Rubrika">
    <w:name w:val="Rubrika"/>
    <w:basedOn w:val="Normln"/>
    <w:pPr>
      <w:keepNext/>
      <w:spacing w:before="120"/>
      <w:ind w:firstLine="709"/>
      <w:jc w:val="both"/>
    </w:pPr>
    <w:rPr>
      <w:b/>
      <w:bCs/>
      <w:i/>
      <w:sz w:val="24"/>
      <w:u w:val="dash"/>
    </w:rPr>
  </w:style>
  <w:style w:type="paragraph" w:customStyle="1" w:styleId="Nadpisoddlu">
    <w:name w:val="Nadpis oddílu"/>
    <w:basedOn w:val="Textodstavce"/>
    <w:link w:val="NadpisoddluChar"/>
    <w:pPr>
      <w:keepNext/>
      <w:spacing w:before="400"/>
      <w:ind w:firstLine="0"/>
      <w:jc w:val="center"/>
    </w:pPr>
    <w:rPr>
      <w:i/>
      <w:smallCaps/>
    </w:rPr>
  </w:style>
  <w:style w:type="paragraph" w:customStyle="1" w:styleId="Nadpispododdlu">
    <w:name w:val="Nadpis pododdílu"/>
    <w:basedOn w:val="Nadpisoddlu"/>
    <w:pPr>
      <w:spacing w:before="320"/>
    </w:pPr>
    <w:rPr>
      <w:smallCaps w:val="0"/>
    </w:rPr>
  </w:style>
  <w:style w:type="paragraph" w:customStyle="1" w:styleId="Nadpisvtextu">
    <w:name w:val="Nadpis v textu"/>
    <w:basedOn w:val="Nadpispododdlu"/>
    <w:rPr>
      <w:i w:val="0"/>
      <w:u w:val="dotDotDash"/>
    </w:rPr>
  </w:style>
  <w:style w:type="character" w:customStyle="1" w:styleId="Siln1">
    <w:name w:val="Silné1"/>
    <w:rPr>
      <w:b/>
    </w:rPr>
  </w:style>
  <w:style w:type="character" w:customStyle="1" w:styleId="normal--char">
    <w:name w:val="normal--char"/>
    <w:rsid w:val="00AF3177"/>
  </w:style>
  <w:style w:type="paragraph" w:customStyle="1" w:styleId="Hvzdiky">
    <w:name w:val="Hvězdičky"/>
    <w:basedOn w:val="Normln"/>
    <w:pPr>
      <w:spacing w:before="320" w:after="160"/>
      <w:jc w:val="center"/>
    </w:pPr>
  </w:style>
  <w:style w:type="character" w:customStyle="1" w:styleId="TextodstavceChar">
    <w:name w:val="Text odstavce Char"/>
    <w:link w:val="Textodstavce"/>
    <w:rsid w:val="00625985"/>
    <w:rPr>
      <w:sz w:val="24"/>
    </w:rPr>
  </w:style>
  <w:style w:type="paragraph" w:styleId="Textpoznpodarou">
    <w:name w:val="footnote text"/>
    <w:basedOn w:val="Normln"/>
    <w:link w:val="TextpoznpodarouChar"/>
    <w:semiHidden/>
    <w:rsid w:val="00625985"/>
  </w:style>
  <w:style w:type="character" w:customStyle="1" w:styleId="TextpoznpodarouChar">
    <w:name w:val="Text pozn. pod čarou Char"/>
    <w:basedOn w:val="Standardnpsmoodstavce"/>
    <w:link w:val="Textpoznpodarou"/>
    <w:semiHidden/>
    <w:rsid w:val="00625985"/>
  </w:style>
  <w:style w:type="character" w:styleId="Znakapoznpodarou">
    <w:name w:val="footnote reference"/>
    <w:semiHidden/>
    <w:rsid w:val="00625985"/>
    <w:rPr>
      <w:vertAlign w:val="superscript"/>
    </w:rPr>
  </w:style>
  <w:style w:type="character" w:styleId="Odkaznakoment">
    <w:name w:val="annotation reference"/>
    <w:uiPriority w:val="99"/>
    <w:semiHidden/>
    <w:unhideWhenUsed/>
    <w:rsid w:val="00BE34B2"/>
    <w:rPr>
      <w:sz w:val="16"/>
      <w:szCs w:val="16"/>
    </w:rPr>
  </w:style>
  <w:style w:type="paragraph" w:styleId="Textkomente">
    <w:name w:val="annotation text"/>
    <w:basedOn w:val="Normln"/>
    <w:link w:val="TextkomenteChar"/>
    <w:uiPriority w:val="99"/>
    <w:unhideWhenUsed/>
    <w:rsid w:val="00BE34B2"/>
  </w:style>
  <w:style w:type="character" w:customStyle="1" w:styleId="TextkomenteChar">
    <w:name w:val="Text komentáře Char"/>
    <w:basedOn w:val="Standardnpsmoodstavce"/>
    <w:link w:val="Textkomente"/>
    <w:uiPriority w:val="99"/>
    <w:rsid w:val="00BE34B2"/>
  </w:style>
  <w:style w:type="paragraph" w:styleId="Pedmtkomente">
    <w:name w:val="annotation subject"/>
    <w:basedOn w:val="Textkomente"/>
    <w:next w:val="Textkomente"/>
    <w:link w:val="PedmtkomenteChar"/>
    <w:uiPriority w:val="99"/>
    <w:semiHidden/>
    <w:unhideWhenUsed/>
    <w:rsid w:val="00BE34B2"/>
    <w:rPr>
      <w:b/>
      <w:bCs/>
    </w:rPr>
  </w:style>
  <w:style w:type="character" w:customStyle="1" w:styleId="PedmtkomenteChar">
    <w:name w:val="Předmět komentáře Char"/>
    <w:link w:val="Pedmtkomente"/>
    <w:uiPriority w:val="99"/>
    <w:semiHidden/>
    <w:rsid w:val="00BE34B2"/>
    <w:rPr>
      <w:b/>
      <w:bCs/>
    </w:rPr>
  </w:style>
  <w:style w:type="paragraph" w:styleId="Textbubliny">
    <w:name w:val="Balloon Text"/>
    <w:basedOn w:val="Normln"/>
    <w:link w:val="TextbublinyChar"/>
    <w:uiPriority w:val="99"/>
    <w:semiHidden/>
    <w:unhideWhenUsed/>
    <w:rsid w:val="00BE34B2"/>
    <w:rPr>
      <w:rFonts w:ascii="Tahoma" w:hAnsi="Tahoma" w:cs="Tahoma"/>
      <w:sz w:val="16"/>
      <w:szCs w:val="16"/>
    </w:rPr>
  </w:style>
  <w:style w:type="character" w:customStyle="1" w:styleId="TextbublinyChar">
    <w:name w:val="Text bubliny Char"/>
    <w:link w:val="Textbubliny"/>
    <w:uiPriority w:val="99"/>
    <w:semiHidden/>
    <w:rsid w:val="00BE34B2"/>
    <w:rPr>
      <w:rFonts w:ascii="Tahoma" w:hAnsi="Tahoma" w:cs="Tahoma"/>
      <w:sz w:val="16"/>
      <w:szCs w:val="16"/>
    </w:rPr>
  </w:style>
  <w:style w:type="paragraph" w:customStyle="1" w:styleId="Default">
    <w:name w:val="Default"/>
    <w:rsid w:val="00FF793D"/>
    <w:pPr>
      <w:autoSpaceDE w:val="0"/>
      <w:autoSpaceDN w:val="0"/>
      <w:adjustRightInd w:val="0"/>
    </w:pPr>
    <w:rPr>
      <w:color w:val="000000"/>
      <w:sz w:val="24"/>
      <w:szCs w:val="24"/>
    </w:rPr>
  </w:style>
  <w:style w:type="character" w:styleId="Hypertextovodkaz">
    <w:name w:val="Hyperlink"/>
    <w:basedOn w:val="Standardnpsmoodstavce"/>
    <w:uiPriority w:val="99"/>
    <w:unhideWhenUsed/>
    <w:rsid w:val="00A57CA5"/>
    <w:rPr>
      <w:color w:val="0563C1" w:themeColor="hyperlink"/>
      <w:u w:val="single"/>
    </w:rPr>
  </w:style>
  <w:style w:type="character" w:customStyle="1" w:styleId="Nevyeenzmnka1">
    <w:name w:val="Nevyřešená zmínka1"/>
    <w:basedOn w:val="Standardnpsmoodstavce"/>
    <w:uiPriority w:val="99"/>
    <w:semiHidden/>
    <w:unhideWhenUsed/>
    <w:rsid w:val="00A57CA5"/>
    <w:rPr>
      <w:color w:val="605E5C"/>
      <w:shd w:val="clear" w:color="auto" w:fill="E1DFDD"/>
    </w:rPr>
  </w:style>
  <w:style w:type="character" w:styleId="Sledovanodkaz">
    <w:name w:val="FollowedHyperlink"/>
    <w:basedOn w:val="Standardnpsmoodstavce"/>
    <w:uiPriority w:val="99"/>
    <w:semiHidden/>
    <w:unhideWhenUsed/>
    <w:rsid w:val="003435D7"/>
    <w:rPr>
      <w:color w:val="954F72" w:themeColor="followedHyperlink"/>
      <w:u w:val="single"/>
    </w:rPr>
  </w:style>
  <w:style w:type="paragraph" w:styleId="Revize">
    <w:name w:val="Revision"/>
    <w:hidden/>
    <w:uiPriority w:val="99"/>
    <w:semiHidden/>
    <w:rsid w:val="00AB06F6"/>
  </w:style>
  <w:style w:type="character" w:customStyle="1" w:styleId="Nevyeenzmnka2">
    <w:name w:val="Nevyřešená zmínka2"/>
    <w:basedOn w:val="Standardnpsmoodstavce"/>
    <w:uiPriority w:val="99"/>
    <w:semiHidden/>
    <w:unhideWhenUsed/>
    <w:rsid w:val="008A5E5E"/>
    <w:rPr>
      <w:color w:val="605E5C"/>
      <w:shd w:val="clear" w:color="auto" w:fill="E1DFDD"/>
    </w:rPr>
  </w:style>
  <w:style w:type="character" w:styleId="Zdraznn">
    <w:name w:val="Emphasis"/>
    <w:basedOn w:val="Standardnpsmoodstavce"/>
    <w:uiPriority w:val="20"/>
    <w:qFormat/>
    <w:rsid w:val="00BE6094"/>
    <w:rPr>
      <w:i/>
      <w:iCs/>
    </w:rPr>
  </w:style>
  <w:style w:type="character" w:customStyle="1" w:styleId="column">
    <w:name w:val="column"/>
    <w:basedOn w:val="Standardnpsmoodstavce"/>
    <w:rsid w:val="005554ED"/>
  </w:style>
  <w:style w:type="paragraph" w:customStyle="1" w:styleId="JuPara">
    <w:name w:val="Ju_Para"/>
    <w:aliases w:val="ECHR_Para,_Para"/>
    <w:basedOn w:val="Normln"/>
    <w:link w:val="JuParaChar"/>
    <w:uiPriority w:val="4"/>
    <w:qFormat/>
    <w:rsid w:val="0030061A"/>
    <w:pPr>
      <w:ind w:firstLine="284"/>
      <w:jc w:val="both"/>
    </w:pPr>
    <w:rPr>
      <w:rFonts w:asciiTheme="minorHAnsi" w:eastAsiaTheme="minorHAnsi" w:hAnsiTheme="minorHAnsi" w:cstheme="minorBidi"/>
      <w:sz w:val="24"/>
      <w:szCs w:val="24"/>
      <w:lang w:val="en-GB" w:eastAsia="en-US"/>
    </w:rPr>
  </w:style>
  <w:style w:type="character" w:customStyle="1" w:styleId="JuParaChar">
    <w:name w:val="Ju_Para Char"/>
    <w:aliases w:val="_Para Char"/>
    <w:link w:val="JuPara"/>
    <w:uiPriority w:val="4"/>
    <w:rsid w:val="0030061A"/>
    <w:rPr>
      <w:rFonts w:asciiTheme="minorHAnsi" w:eastAsiaTheme="minorHAnsi" w:hAnsiTheme="minorHAnsi" w:cstheme="minorBidi"/>
      <w:sz w:val="24"/>
      <w:szCs w:val="24"/>
      <w:lang w:val="en-GB" w:eastAsia="en-US"/>
    </w:rPr>
  </w:style>
  <w:style w:type="paragraph" w:styleId="Odstavecseseznamem">
    <w:name w:val="List Paragraph"/>
    <w:basedOn w:val="Normln"/>
    <w:uiPriority w:val="34"/>
    <w:qFormat/>
    <w:rsid w:val="00186617"/>
    <w:pPr>
      <w:ind w:left="720"/>
    </w:pPr>
    <w:rPr>
      <w:rFonts w:ascii="Calibri" w:eastAsiaTheme="minorHAnsi" w:hAnsi="Calibri" w:cs="Calibri"/>
      <w:sz w:val="22"/>
      <w:szCs w:val="22"/>
      <w:lang w:eastAsia="en-US"/>
      <w14:ligatures w14:val="standardContextual"/>
    </w:rPr>
  </w:style>
  <w:style w:type="paragraph" w:customStyle="1" w:styleId="pf0">
    <w:name w:val="pf0"/>
    <w:basedOn w:val="Normln"/>
    <w:rsid w:val="00F26CB5"/>
    <w:pPr>
      <w:spacing w:before="100" w:beforeAutospacing="1" w:after="100" w:afterAutospacing="1"/>
    </w:pPr>
    <w:rPr>
      <w:sz w:val="24"/>
      <w:szCs w:val="24"/>
    </w:rPr>
  </w:style>
  <w:style w:type="character" w:customStyle="1" w:styleId="cf01">
    <w:name w:val="cf01"/>
    <w:basedOn w:val="Standardnpsmoodstavce"/>
    <w:rsid w:val="00F26CB5"/>
    <w:rPr>
      <w:rFonts w:ascii="Segoe UI" w:hAnsi="Segoe UI" w:cs="Segoe UI" w:hint="default"/>
      <w:sz w:val="18"/>
      <w:szCs w:val="18"/>
    </w:rPr>
  </w:style>
  <w:style w:type="character" w:customStyle="1" w:styleId="Nevyeenzmnka3">
    <w:name w:val="Nevyřešená zmínka3"/>
    <w:basedOn w:val="Standardnpsmoodstavce"/>
    <w:uiPriority w:val="99"/>
    <w:semiHidden/>
    <w:unhideWhenUsed/>
    <w:rsid w:val="00E15047"/>
    <w:rPr>
      <w:color w:val="605E5C"/>
      <w:shd w:val="clear" w:color="auto" w:fill="E1DFDD"/>
    </w:rPr>
  </w:style>
  <w:style w:type="character" w:customStyle="1" w:styleId="NadpisoddluChar">
    <w:name w:val="Nadpis oddílu Char"/>
    <w:link w:val="Nadpisoddlu"/>
    <w:rsid w:val="00AB2F7F"/>
    <w:rPr>
      <w:i/>
      <w:smallCaps/>
      <w:sz w:val="24"/>
    </w:rPr>
  </w:style>
  <w:style w:type="paragraph" w:customStyle="1" w:styleId="Stanovisko-text">
    <w:name w:val="Stanovisko-text"/>
    <w:basedOn w:val="Normln"/>
    <w:link w:val="Stanovisko-textChar"/>
    <w:rsid w:val="0041431E"/>
    <w:pPr>
      <w:numPr>
        <w:numId w:val="5"/>
      </w:numPr>
      <w:tabs>
        <w:tab w:val="clear" w:pos="644"/>
        <w:tab w:val="left" w:pos="993"/>
      </w:tabs>
      <w:spacing w:after="100"/>
      <w:ind w:firstLine="425"/>
      <w:jc w:val="both"/>
    </w:pPr>
    <w:rPr>
      <w:sz w:val="24"/>
      <w:szCs w:val="24"/>
      <w:lang w:val="en-GB"/>
    </w:rPr>
  </w:style>
  <w:style w:type="character" w:customStyle="1" w:styleId="Stanovisko-textChar">
    <w:name w:val="Stanovisko-text Char"/>
    <w:link w:val="Stanovisko-text"/>
    <w:rsid w:val="0041431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50909">
      <w:bodyDiv w:val="1"/>
      <w:marLeft w:val="0"/>
      <w:marRight w:val="0"/>
      <w:marTop w:val="0"/>
      <w:marBottom w:val="0"/>
      <w:divBdr>
        <w:top w:val="none" w:sz="0" w:space="0" w:color="auto"/>
        <w:left w:val="none" w:sz="0" w:space="0" w:color="auto"/>
        <w:bottom w:val="none" w:sz="0" w:space="0" w:color="auto"/>
        <w:right w:val="none" w:sz="0" w:space="0" w:color="auto"/>
      </w:divBdr>
    </w:div>
    <w:div w:id="672952130">
      <w:bodyDiv w:val="1"/>
      <w:marLeft w:val="0"/>
      <w:marRight w:val="0"/>
      <w:marTop w:val="0"/>
      <w:marBottom w:val="0"/>
      <w:divBdr>
        <w:top w:val="none" w:sz="0" w:space="0" w:color="auto"/>
        <w:left w:val="none" w:sz="0" w:space="0" w:color="auto"/>
        <w:bottom w:val="none" w:sz="0" w:space="0" w:color="auto"/>
        <w:right w:val="none" w:sz="0" w:space="0" w:color="auto"/>
      </w:divBdr>
    </w:div>
    <w:div w:id="749230750">
      <w:bodyDiv w:val="1"/>
      <w:marLeft w:val="0"/>
      <w:marRight w:val="0"/>
      <w:marTop w:val="0"/>
      <w:marBottom w:val="0"/>
      <w:divBdr>
        <w:top w:val="none" w:sz="0" w:space="0" w:color="auto"/>
        <w:left w:val="none" w:sz="0" w:space="0" w:color="auto"/>
        <w:bottom w:val="none" w:sz="0" w:space="0" w:color="auto"/>
        <w:right w:val="none" w:sz="0" w:space="0" w:color="auto"/>
      </w:divBdr>
    </w:div>
    <w:div w:id="749548973">
      <w:bodyDiv w:val="1"/>
      <w:marLeft w:val="0"/>
      <w:marRight w:val="0"/>
      <w:marTop w:val="0"/>
      <w:marBottom w:val="0"/>
      <w:divBdr>
        <w:top w:val="none" w:sz="0" w:space="0" w:color="auto"/>
        <w:left w:val="none" w:sz="0" w:space="0" w:color="auto"/>
        <w:bottom w:val="none" w:sz="0" w:space="0" w:color="auto"/>
        <w:right w:val="none" w:sz="0" w:space="0" w:color="auto"/>
      </w:divBdr>
    </w:div>
    <w:div w:id="750153352">
      <w:bodyDiv w:val="1"/>
      <w:marLeft w:val="0"/>
      <w:marRight w:val="0"/>
      <w:marTop w:val="0"/>
      <w:marBottom w:val="0"/>
      <w:divBdr>
        <w:top w:val="none" w:sz="0" w:space="0" w:color="auto"/>
        <w:left w:val="none" w:sz="0" w:space="0" w:color="auto"/>
        <w:bottom w:val="none" w:sz="0" w:space="0" w:color="auto"/>
        <w:right w:val="none" w:sz="0" w:space="0" w:color="auto"/>
      </w:divBdr>
    </w:div>
    <w:div w:id="839389358">
      <w:bodyDiv w:val="1"/>
      <w:marLeft w:val="0"/>
      <w:marRight w:val="0"/>
      <w:marTop w:val="0"/>
      <w:marBottom w:val="0"/>
      <w:divBdr>
        <w:top w:val="none" w:sz="0" w:space="0" w:color="auto"/>
        <w:left w:val="none" w:sz="0" w:space="0" w:color="auto"/>
        <w:bottom w:val="none" w:sz="0" w:space="0" w:color="auto"/>
        <w:right w:val="none" w:sz="0" w:space="0" w:color="auto"/>
      </w:divBdr>
    </w:div>
    <w:div w:id="1029183310">
      <w:bodyDiv w:val="1"/>
      <w:marLeft w:val="0"/>
      <w:marRight w:val="0"/>
      <w:marTop w:val="0"/>
      <w:marBottom w:val="0"/>
      <w:divBdr>
        <w:top w:val="none" w:sz="0" w:space="0" w:color="auto"/>
        <w:left w:val="none" w:sz="0" w:space="0" w:color="auto"/>
        <w:bottom w:val="none" w:sz="0" w:space="0" w:color="auto"/>
        <w:right w:val="none" w:sz="0" w:space="0" w:color="auto"/>
      </w:divBdr>
    </w:div>
    <w:div w:id="1097940028">
      <w:bodyDiv w:val="1"/>
      <w:marLeft w:val="0"/>
      <w:marRight w:val="0"/>
      <w:marTop w:val="0"/>
      <w:marBottom w:val="0"/>
      <w:divBdr>
        <w:top w:val="none" w:sz="0" w:space="0" w:color="auto"/>
        <w:left w:val="none" w:sz="0" w:space="0" w:color="auto"/>
        <w:bottom w:val="none" w:sz="0" w:space="0" w:color="auto"/>
        <w:right w:val="none" w:sz="0" w:space="0" w:color="auto"/>
      </w:divBdr>
    </w:div>
    <w:div w:id="1140075311">
      <w:bodyDiv w:val="1"/>
      <w:marLeft w:val="0"/>
      <w:marRight w:val="0"/>
      <w:marTop w:val="0"/>
      <w:marBottom w:val="0"/>
      <w:divBdr>
        <w:top w:val="none" w:sz="0" w:space="0" w:color="auto"/>
        <w:left w:val="none" w:sz="0" w:space="0" w:color="auto"/>
        <w:bottom w:val="none" w:sz="0" w:space="0" w:color="auto"/>
        <w:right w:val="none" w:sz="0" w:space="0" w:color="auto"/>
      </w:divBdr>
    </w:div>
    <w:div w:id="1195968253">
      <w:bodyDiv w:val="1"/>
      <w:marLeft w:val="0"/>
      <w:marRight w:val="0"/>
      <w:marTop w:val="0"/>
      <w:marBottom w:val="0"/>
      <w:divBdr>
        <w:top w:val="none" w:sz="0" w:space="0" w:color="auto"/>
        <w:left w:val="none" w:sz="0" w:space="0" w:color="auto"/>
        <w:bottom w:val="none" w:sz="0" w:space="0" w:color="auto"/>
        <w:right w:val="none" w:sz="0" w:space="0" w:color="auto"/>
      </w:divBdr>
    </w:div>
    <w:div w:id="1382094277">
      <w:bodyDiv w:val="1"/>
      <w:marLeft w:val="0"/>
      <w:marRight w:val="0"/>
      <w:marTop w:val="0"/>
      <w:marBottom w:val="0"/>
      <w:divBdr>
        <w:top w:val="none" w:sz="0" w:space="0" w:color="auto"/>
        <w:left w:val="none" w:sz="0" w:space="0" w:color="auto"/>
        <w:bottom w:val="none" w:sz="0" w:space="0" w:color="auto"/>
        <w:right w:val="none" w:sz="0" w:space="0" w:color="auto"/>
      </w:divBdr>
    </w:div>
    <w:div w:id="1579635317">
      <w:bodyDiv w:val="1"/>
      <w:marLeft w:val="0"/>
      <w:marRight w:val="0"/>
      <w:marTop w:val="0"/>
      <w:marBottom w:val="0"/>
      <w:divBdr>
        <w:top w:val="none" w:sz="0" w:space="0" w:color="auto"/>
        <w:left w:val="none" w:sz="0" w:space="0" w:color="auto"/>
        <w:bottom w:val="none" w:sz="0" w:space="0" w:color="auto"/>
        <w:right w:val="none" w:sz="0" w:space="0" w:color="auto"/>
      </w:divBdr>
    </w:div>
    <w:div w:id="1580671816">
      <w:bodyDiv w:val="1"/>
      <w:marLeft w:val="0"/>
      <w:marRight w:val="0"/>
      <w:marTop w:val="0"/>
      <w:marBottom w:val="0"/>
      <w:divBdr>
        <w:top w:val="none" w:sz="0" w:space="0" w:color="auto"/>
        <w:left w:val="none" w:sz="0" w:space="0" w:color="auto"/>
        <w:bottom w:val="none" w:sz="0" w:space="0" w:color="auto"/>
        <w:right w:val="none" w:sz="0" w:space="0" w:color="auto"/>
      </w:divBdr>
    </w:div>
    <w:div w:id="1622029207">
      <w:bodyDiv w:val="1"/>
      <w:marLeft w:val="0"/>
      <w:marRight w:val="0"/>
      <w:marTop w:val="0"/>
      <w:marBottom w:val="0"/>
      <w:divBdr>
        <w:top w:val="none" w:sz="0" w:space="0" w:color="auto"/>
        <w:left w:val="none" w:sz="0" w:space="0" w:color="auto"/>
        <w:bottom w:val="none" w:sz="0" w:space="0" w:color="auto"/>
        <w:right w:val="none" w:sz="0" w:space="0" w:color="auto"/>
      </w:divBdr>
    </w:div>
    <w:div w:id="1694384637">
      <w:bodyDiv w:val="1"/>
      <w:marLeft w:val="0"/>
      <w:marRight w:val="0"/>
      <w:marTop w:val="0"/>
      <w:marBottom w:val="0"/>
      <w:divBdr>
        <w:top w:val="none" w:sz="0" w:space="0" w:color="auto"/>
        <w:left w:val="none" w:sz="0" w:space="0" w:color="auto"/>
        <w:bottom w:val="none" w:sz="0" w:space="0" w:color="auto"/>
        <w:right w:val="none" w:sz="0" w:space="0" w:color="auto"/>
      </w:divBdr>
    </w:div>
    <w:div w:id="1945072252">
      <w:bodyDiv w:val="1"/>
      <w:marLeft w:val="0"/>
      <w:marRight w:val="0"/>
      <w:marTop w:val="0"/>
      <w:marBottom w:val="0"/>
      <w:divBdr>
        <w:top w:val="none" w:sz="0" w:space="0" w:color="auto"/>
        <w:left w:val="none" w:sz="0" w:space="0" w:color="auto"/>
        <w:bottom w:val="none" w:sz="0" w:space="0" w:color="auto"/>
        <w:right w:val="none" w:sz="0" w:space="0" w:color="auto"/>
      </w:divBdr>
    </w:div>
    <w:div w:id="1973552961">
      <w:bodyDiv w:val="1"/>
      <w:marLeft w:val="0"/>
      <w:marRight w:val="0"/>
      <w:marTop w:val="0"/>
      <w:marBottom w:val="0"/>
      <w:divBdr>
        <w:top w:val="none" w:sz="0" w:space="0" w:color="auto"/>
        <w:left w:val="none" w:sz="0" w:space="0" w:color="auto"/>
        <w:bottom w:val="none" w:sz="0" w:space="0" w:color="auto"/>
        <w:right w:val="none" w:sz="0" w:space="0" w:color="auto"/>
      </w:divBdr>
    </w:div>
    <w:div w:id="210633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lus.usoud.cz:443/Search/GetText.aspx?sz=Pl-2-25_2" TargetMode="External"/><Relationship Id="rId13" Type="http://schemas.openxmlformats.org/officeDocument/2006/relationships/hyperlink" Target="https://mezisoudy.cz/aktuality/evropsky-soud-pro-lidska-prava-dnes-vydal-rozsudky-a-rozhodnuti-ve-ctyrech-vecech-proti-ceske-republice" TargetMode="External"/><Relationship Id="rId18" Type="http://schemas.openxmlformats.org/officeDocument/2006/relationships/hyperlink" Target="https://mezisoudy.cz/vykon-rozsudku-eslp-a-rozhodnuti-dalsich-mezinarodnich-lidskopravnich-organu/z-proti-cr-stihani-sexualniho-nasili" TargetMode="External"/><Relationship Id="rId3" Type="http://schemas.openxmlformats.org/officeDocument/2006/relationships/styles" Target="styles.xml"/><Relationship Id="rId21" Type="http://schemas.openxmlformats.org/officeDocument/2006/relationships/hyperlink" Target="https://mezisoudy.cz/tematicke-prirucky/sexualni-nasili" TargetMode="External"/><Relationship Id="rId7" Type="http://schemas.openxmlformats.org/officeDocument/2006/relationships/endnotes" Target="endnotes.xml"/><Relationship Id="rId12" Type="http://schemas.openxmlformats.org/officeDocument/2006/relationships/hyperlink" Target="https://www.usoud.cz/aktualne/pocatek-promlceci-lhuty-k-uplatneni-naroku-na-nahradu-ujmy-zpusobene-porusenim-prava-na-ucinne-vysetrovani" TargetMode="External"/><Relationship Id="rId17" Type="http://schemas.openxmlformats.org/officeDocument/2006/relationships/hyperlink" Target="https://mezisoudy.cz/vykon-rozsudku-eslp-a-rozhodnuti-dalsich-mezinarodnich-lidskopravnich-organu/z-proti-cr-stihani-sexualniho-nasili"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ustice.cz/web/msp/zpravodaj-kvz" TargetMode="External"/><Relationship Id="rId20" Type="http://schemas.openxmlformats.org/officeDocument/2006/relationships/hyperlink" Target="https://eslp.nsoud.cz/vyber/22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lus.usoud.cz:443/Search/GetText.aspx?sz=Pl-27-25_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zisoudy.cz/databaze-judikatury" TargetMode="External"/><Relationship Id="rId23" Type="http://schemas.openxmlformats.org/officeDocument/2006/relationships/footer" Target="footer2.xml"/><Relationship Id="rId10" Type="http://schemas.openxmlformats.org/officeDocument/2006/relationships/hyperlink" Target="https://nalus.usoud.cz:443/Search/GetText.aspx?sz=Pl-27-25_1" TargetMode="External"/><Relationship Id="rId19" Type="http://schemas.openxmlformats.org/officeDocument/2006/relationships/hyperlink" Target="https://mezisoudy.cz/vykon-rozsudku-eslp-a-rozhodnuti-dalsich-mezinarodnich-lidskopravnich-organu/z-proti-cr-stihani-sexualniho-nasili" TargetMode="External"/><Relationship Id="rId4" Type="http://schemas.openxmlformats.org/officeDocument/2006/relationships/settings" Target="settings.xml"/><Relationship Id="rId9" Type="http://schemas.openxmlformats.org/officeDocument/2006/relationships/hyperlink" Target="https://nalus.usoud.cz:443/Search/GetText.aspx?sz=Pl-2-25_3" TargetMode="External"/><Relationship Id="rId14" Type="http://schemas.openxmlformats.org/officeDocument/2006/relationships/hyperlink" Target="https://mezisoudy.cz/aktuality/evropsky-soud-pro-lidska-prava-dnes-vydal-rozsudek-a-rozhodnuti-ve-trech-vecech-proti-ceske-republice"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mezisoudy.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7C195-69F8-45F4-936A-777BAD30C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2725</Words>
  <Characters>16084</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Stanovisko vlády České republiky</vt:lpstr>
    </vt:vector>
  </TitlesOfParts>
  <Company>MSp</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Stanovisko vlády České republiky</dc:title>
  <dc:subject/>
  <dc:creator>Kaštyl Miroslav Mgr.</dc:creator>
  <cp:keywords/>
  <cp:lastModifiedBy>Martinková Jana</cp:lastModifiedBy>
  <cp:revision>3</cp:revision>
  <cp:lastPrinted>2002-07-09T15:11:00Z</cp:lastPrinted>
  <dcterms:created xsi:type="dcterms:W3CDTF">2026-10-05T08:03:00Z</dcterms:created>
  <dcterms:modified xsi:type="dcterms:W3CDTF">2026-10-05T08:16:00Z</dcterms:modified>
  <cp:contentStatus/>
</cp:coreProperties>
</file>