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F8F52" w14:textId="30B0CCD8" w:rsidR="00B068C6" w:rsidRDefault="002C1F01" w:rsidP="00C44853">
      <w:pPr>
        <w:pStyle w:val="Nadpishlavn"/>
        <w:rPr>
          <w:i/>
          <w:lang w:val="en-GB"/>
        </w:rPr>
      </w:pPr>
      <w:r w:rsidRPr="00AC3A5E">
        <w:rPr>
          <w:lang w:val="en-GB"/>
        </w:rPr>
        <w:t>Execution of the judgment</w:t>
      </w:r>
      <w:r w:rsidR="00B068C6">
        <w:rPr>
          <w:lang w:val="en-GB"/>
        </w:rPr>
        <w:t>s</w:t>
      </w:r>
      <w:r w:rsidRPr="00AC3A5E">
        <w:rPr>
          <w:lang w:val="en-GB"/>
        </w:rPr>
        <w:t xml:space="preserve"> of the European Court of Human Rights</w:t>
      </w:r>
      <w:r w:rsidRPr="00AC3A5E">
        <w:rPr>
          <w:lang w:val="en-GB"/>
        </w:rPr>
        <w:br/>
        <w:t>in case</w:t>
      </w:r>
      <w:r w:rsidR="00B068C6">
        <w:rPr>
          <w:lang w:val="en-GB"/>
        </w:rPr>
        <w:t>s</w:t>
      </w:r>
      <w:r w:rsidRPr="00AC3A5E">
        <w:rPr>
          <w:lang w:val="en-GB"/>
        </w:rPr>
        <w:t xml:space="preserve"> no</w:t>
      </w:r>
      <w:r w:rsidR="00C638F6">
        <w:rPr>
          <w:lang w:val="en-GB"/>
        </w:rPr>
        <w:t>s</w:t>
      </w:r>
      <w:r w:rsidRPr="00AC3A5E">
        <w:rPr>
          <w:lang w:val="en-GB"/>
        </w:rPr>
        <w:t xml:space="preserve">. </w:t>
      </w:r>
      <w:r w:rsidR="00A30046">
        <w:t>37782</w:t>
      </w:r>
      <w:r w:rsidR="00A30046" w:rsidRPr="00C706A7">
        <w:t>/</w:t>
      </w:r>
      <w:r w:rsidR="00A30046">
        <w:t xml:space="preserve">21 </w:t>
      </w:r>
      <w:r w:rsidR="00C44853">
        <w:rPr>
          <w:lang w:val="en-GB"/>
        </w:rPr>
        <w:t xml:space="preserve">– </w:t>
      </w:r>
      <w:r w:rsidR="00A30046">
        <w:rPr>
          <w:i/>
          <w:lang w:val="en-GB"/>
        </w:rPr>
        <w:t>Z</w:t>
      </w:r>
      <w:r w:rsidR="00C44853">
        <w:rPr>
          <w:i/>
          <w:lang w:val="en-GB"/>
        </w:rPr>
        <w:t xml:space="preserve"> </w:t>
      </w:r>
      <w:r w:rsidR="000928E3" w:rsidRPr="00AC3A5E">
        <w:rPr>
          <w:i/>
          <w:lang w:val="en-GB"/>
        </w:rPr>
        <w:t>v</w:t>
      </w:r>
      <w:r w:rsidR="000928E3" w:rsidRPr="00AC3A5E">
        <w:rPr>
          <w:iCs/>
          <w:lang w:val="en-GB"/>
        </w:rPr>
        <w:t xml:space="preserve">. </w:t>
      </w:r>
      <w:r w:rsidR="000928E3" w:rsidRPr="00AC3A5E">
        <w:rPr>
          <w:i/>
          <w:lang w:val="en-GB"/>
        </w:rPr>
        <w:t>the Czech Republic</w:t>
      </w:r>
    </w:p>
    <w:p w14:paraId="1905A329" w14:textId="77777777" w:rsidR="00510838" w:rsidRDefault="00B068C6" w:rsidP="00B068C6">
      <w:pPr>
        <w:pStyle w:val="Nadpishlavn"/>
      </w:pPr>
      <w:r>
        <w:rPr>
          <w:iCs/>
          <w:lang w:val="en-GB"/>
        </w:rPr>
        <w:t xml:space="preserve">and </w:t>
      </w:r>
      <w:r>
        <w:t>10145</w:t>
      </w:r>
      <w:r w:rsidRPr="00C706A7">
        <w:t>/</w:t>
      </w:r>
      <w:r>
        <w:t xml:space="preserve">22 – </w:t>
      </w:r>
      <w:r>
        <w:rPr>
          <w:i/>
          <w:lang w:val="en-GB"/>
        </w:rPr>
        <w:t xml:space="preserve">Y </w:t>
      </w:r>
      <w:r w:rsidRPr="00AC3A5E">
        <w:rPr>
          <w:i/>
          <w:lang w:val="en-GB"/>
        </w:rPr>
        <w:t>v</w:t>
      </w:r>
      <w:r w:rsidRPr="00AC3A5E">
        <w:rPr>
          <w:iCs/>
          <w:lang w:val="en-GB"/>
        </w:rPr>
        <w:t xml:space="preserve">. </w:t>
      </w:r>
      <w:r w:rsidRPr="00AC3A5E">
        <w:rPr>
          <w:i/>
          <w:lang w:val="en-GB"/>
        </w:rPr>
        <w:t>the Czech Republic</w:t>
      </w:r>
      <w:r>
        <w:t xml:space="preserve"> </w:t>
      </w:r>
    </w:p>
    <w:p w14:paraId="5A21AB23" w14:textId="3219D417" w:rsidR="00AF3177" w:rsidRPr="00B068C6" w:rsidRDefault="002C1F01" w:rsidP="00B068C6">
      <w:pPr>
        <w:pStyle w:val="Nadpishlavn"/>
        <w:rPr>
          <w:i/>
          <w:lang w:val="en-GB"/>
        </w:rPr>
      </w:pPr>
      <w:r w:rsidRPr="00AC3A5E">
        <w:rPr>
          <w:lang w:val="en-GB"/>
        </w:rPr>
        <w:br/>
      </w:r>
      <w:r w:rsidR="00AF3177" w:rsidRPr="00AC3A5E">
        <w:rPr>
          <w:lang w:val="en-GB"/>
        </w:rPr>
        <w:t xml:space="preserve">Action </w:t>
      </w:r>
      <w:r w:rsidR="00A30046">
        <w:rPr>
          <w:lang w:val="en-GB"/>
        </w:rPr>
        <w:t>Report</w:t>
      </w:r>
      <w:r w:rsidR="00AF3177" w:rsidRPr="00AC3A5E">
        <w:rPr>
          <w:lang w:val="en-GB"/>
        </w:rPr>
        <w:t xml:space="preserve"> </w:t>
      </w:r>
      <w:r w:rsidRPr="00AC3A5E">
        <w:rPr>
          <w:lang w:val="en-GB"/>
        </w:rPr>
        <w:t xml:space="preserve">submitted by </w:t>
      </w:r>
      <w:r w:rsidR="00AF3177" w:rsidRPr="00AC3A5E">
        <w:rPr>
          <w:lang w:val="en-GB"/>
        </w:rPr>
        <w:t xml:space="preserve">the </w:t>
      </w:r>
      <w:r w:rsidR="00AB1570" w:rsidRPr="00AC3A5E">
        <w:rPr>
          <w:lang w:val="en-GB"/>
        </w:rPr>
        <w:t xml:space="preserve">Czech </w:t>
      </w:r>
      <w:r w:rsidR="00AF3177" w:rsidRPr="00AC3A5E">
        <w:rPr>
          <w:lang w:val="en-GB"/>
        </w:rPr>
        <w:t>G</w:t>
      </w:r>
      <w:r w:rsidRPr="00AC3A5E">
        <w:rPr>
          <w:lang w:val="en-GB"/>
        </w:rPr>
        <w:t xml:space="preserve">overnment </w:t>
      </w:r>
      <w:r w:rsidR="00AB1570" w:rsidRPr="00AC3A5E">
        <w:rPr>
          <w:lang w:val="en-GB"/>
        </w:rPr>
        <w:t>on</w:t>
      </w:r>
      <w:r w:rsidR="000928E3" w:rsidRPr="00AC3A5E">
        <w:rPr>
          <w:lang w:val="en-GB"/>
        </w:rPr>
        <w:t xml:space="preserve"> </w:t>
      </w:r>
      <w:r w:rsidR="00510838">
        <w:rPr>
          <w:lang w:val="en-GB"/>
        </w:rPr>
        <w:t>5</w:t>
      </w:r>
      <w:r w:rsidR="000928E3" w:rsidRPr="00AC3A5E">
        <w:rPr>
          <w:lang w:val="en-GB"/>
        </w:rPr>
        <w:t xml:space="preserve"> </w:t>
      </w:r>
      <w:r w:rsidR="00B068C6">
        <w:rPr>
          <w:lang w:val="en-GB"/>
        </w:rPr>
        <w:t>September</w:t>
      </w:r>
      <w:r w:rsidR="00AB1570" w:rsidRPr="00AC3A5E">
        <w:rPr>
          <w:lang w:val="en-GB"/>
        </w:rPr>
        <w:t xml:space="preserve"> 20</w:t>
      </w:r>
      <w:r w:rsidR="000928E3" w:rsidRPr="00AC3A5E">
        <w:rPr>
          <w:lang w:val="en-GB"/>
        </w:rPr>
        <w:t>2</w:t>
      </w:r>
      <w:r w:rsidR="00A30046">
        <w:rPr>
          <w:lang w:val="en-GB"/>
        </w:rPr>
        <w:t>5</w:t>
      </w:r>
    </w:p>
    <w:p w14:paraId="7AC78E05" w14:textId="31FF55B7" w:rsidR="00E15047" w:rsidRDefault="00625985" w:rsidP="00510838">
      <w:pPr>
        <w:pStyle w:val="Textodstavce"/>
        <w:spacing w:before="360"/>
        <w:rPr>
          <w:lang w:val="en-GB"/>
        </w:rPr>
      </w:pPr>
      <w:r w:rsidRPr="002D0DB7">
        <w:rPr>
          <w:lang w:val="en-GB"/>
        </w:rPr>
        <w:t>In its judgment</w:t>
      </w:r>
      <w:r w:rsidR="00B068C6">
        <w:rPr>
          <w:lang w:val="en-GB"/>
        </w:rPr>
        <w:t xml:space="preserve">s in cases of </w:t>
      </w:r>
      <w:r w:rsidR="00B068C6" w:rsidRPr="00B068C6">
        <w:rPr>
          <w:i/>
          <w:iCs/>
          <w:lang w:val="en-GB"/>
        </w:rPr>
        <w:t>Z v. the Czech Republic</w:t>
      </w:r>
      <w:r w:rsidR="000928E3" w:rsidRPr="002D0DB7">
        <w:rPr>
          <w:lang w:val="en-GB"/>
        </w:rPr>
        <w:t xml:space="preserve"> </w:t>
      </w:r>
      <w:r w:rsidR="009C6622">
        <w:rPr>
          <w:lang w:val="en-GB"/>
        </w:rPr>
        <w:t xml:space="preserve">of </w:t>
      </w:r>
      <w:r w:rsidR="00A30046">
        <w:rPr>
          <w:lang w:val="en-GB"/>
        </w:rPr>
        <w:t>20 June</w:t>
      </w:r>
      <w:r w:rsidR="000928E3" w:rsidRPr="002D0DB7">
        <w:rPr>
          <w:lang w:val="en-GB"/>
        </w:rPr>
        <w:t xml:space="preserve"> 202</w:t>
      </w:r>
      <w:r w:rsidR="00A30046">
        <w:rPr>
          <w:lang w:val="en-GB"/>
        </w:rPr>
        <w:t>4</w:t>
      </w:r>
      <w:r w:rsidR="00B068C6">
        <w:rPr>
          <w:lang w:val="en-GB"/>
        </w:rPr>
        <w:t xml:space="preserve"> and </w:t>
      </w:r>
      <w:r w:rsidR="00B068C6">
        <w:rPr>
          <w:i/>
          <w:iCs/>
          <w:lang w:val="en-GB"/>
        </w:rPr>
        <w:t>Y</w:t>
      </w:r>
      <w:r w:rsidR="00B068C6" w:rsidRPr="00B068C6">
        <w:rPr>
          <w:i/>
          <w:iCs/>
          <w:lang w:val="en-GB"/>
        </w:rPr>
        <w:t xml:space="preserve"> v. the Czech Republic</w:t>
      </w:r>
      <w:r w:rsidR="00B068C6" w:rsidRPr="002D0DB7">
        <w:rPr>
          <w:lang w:val="en-GB"/>
        </w:rPr>
        <w:t xml:space="preserve"> </w:t>
      </w:r>
      <w:r w:rsidR="00B068C6">
        <w:rPr>
          <w:lang w:val="en-GB"/>
        </w:rPr>
        <w:t>of 12 December</w:t>
      </w:r>
      <w:r w:rsidR="00B068C6" w:rsidRPr="002D0DB7">
        <w:rPr>
          <w:lang w:val="en-GB"/>
        </w:rPr>
        <w:t xml:space="preserve"> 202</w:t>
      </w:r>
      <w:r w:rsidR="00B068C6">
        <w:rPr>
          <w:lang w:val="en-GB"/>
        </w:rPr>
        <w:t xml:space="preserve">4, </w:t>
      </w:r>
      <w:r w:rsidRPr="002D0DB7">
        <w:rPr>
          <w:lang w:val="en-GB"/>
        </w:rPr>
        <w:t xml:space="preserve">which </w:t>
      </w:r>
      <w:r w:rsidR="00B068C6">
        <w:rPr>
          <w:lang w:val="en-GB"/>
        </w:rPr>
        <w:t xml:space="preserve">both </w:t>
      </w:r>
      <w:r w:rsidRPr="002D0DB7">
        <w:rPr>
          <w:lang w:val="en-GB"/>
        </w:rPr>
        <w:t xml:space="preserve">became final in accordance with Article 44 § 2 </w:t>
      </w:r>
      <w:r w:rsidR="009C6622">
        <w:rPr>
          <w:lang w:val="en-GB"/>
        </w:rPr>
        <w:t>(</w:t>
      </w:r>
      <w:r w:rsidRPr="002D0DB7">
        <w:rPr>
          <w:lang w:val="en-GB"/>
        </w:rPr>
        <w:t>b) of the Convention,</w:t>
      </w:r>
      <w:r w:rsidR="00B068C6">
        <w:rPr>
          <w:lang w:val="en-GB"/>
        </w:rPr>
        <w:t xml:space="preserve"> </w:t>
      </w:r>
      <w:r w:rsidRPr="002D0DB7">
        <w:rPr>
          <w:lang w:val="en-GB"/>
        </w:rPr>
        <w:t xml:space="preserve">the European Court of Human Rights </w:t>
      </w:r>
      <w:r w:rsidR="00C0779A" w:rsidRPr="002D0DB7">
        <w:rPr>
          <w:lang w:val="en-GB"/>
        </w:rPr>
        <w:t>(“the</w:t>
      </w:r>
      <w:r w:rsidR="002C74F9" w:rsidRPr="002D0DB7">
        <w:rPr>
          <w:lang w:val="en-GB"/>
        </w:rPr>
        <w:t> </w:t>
      </w:r>
      <w:r w:rsidR="00C0779A" w:rsidRPr="002D0DB7">
        <w:rPr>
          <w:lang w:val="en-GB"/>
        </w:rPr>
        <w:t xml:space="preserve">Court”) </w:t>
      </w:r>
      <w:r w:rsidRPr="002D0DB7">
        <w:rPr>
          <w:lang w:val="en-GB"/>
        </w:rPr>
        <w:t>held that there was a</w:t>
      </w:r>
      <w:r w:rsidR="00CE292B">
        <w:rPr>
          <w:lang w:val="en-GB"/>
        </w:rPr>
        <w:t> </w:t>
      </w:r>
      <w:r w:rsidRPr="002D0DB7">
        <w:rPr>
          <w:lang w:val="en-GB"/>
        </w:rPr>
        <w:t>violation of Article</w:t>
      </w:r>
      <w:r w:rsidR="00A30046">
        <w:rPr>
          <w:lang w:val="en-GB"/>
        </w:rPr>
        <w:t>s</w:t>
      </w:r>
      <w:r w:rsidRPr="002D0DB7">
        <w:rPr>
          <w:lang w:val="en-GB"/>
        </w:rPr>
        <w:t xml:space="preserve"> </w:t>
      </w:r>
      <w:r w:rsidR="00A30046">
        <w:rPr>
          <w:lang w:val="en-GB"/>
        </w:rPr>
        <w:t>3 and 8</w:t>
      </w:r>
      <w:r w:rsidRPr="002D0DB7">
        <w:rPr>
          <w:lang w:val="en-GB"/>
        </w:rPr>
        <w:t xml:space="preserve"> of the Convention</w:t>
      </w:r>
      <w:r w:rsidR="0004395D">
        <w:rPr>
          <w:lang w:val="en-GB"/>
        </w:rPr>
        <w:t xml:space="preserve"> </w:t>
      </w:r>
      <w:r w:rsidR="00A30046">
        <w:rPr>
          <w:lang w:val="en-GB"/>
        </w:rPr>
        <w:t>due to</w:t>
      </w:r>
      <w:r w:rsidR="007B2C21">
        <w:rPr>
          <w:lang w:val="en-GB"/>
        </w:rPr>
        <w:t xml:space="preserve"> the</w:t>
      </w:r>
      <w:r w:rsidR="00A30046">
        <w:rPr>
          <w:lang w:val="en-GB"/>
        </w:rPr>
        <w:t xml:space="preserve"> failure of </w:t>
      </w:r>
      <w:r w:rsidR="00B52258">
        <w:rPr>
          <w:lang w:val="en-GB"/>
        </w:rPr>
        <w:t>domestic</w:t>
      </w:r>
      <w:r w:rsidR="00A30046">
        <w:rPr>
          <w:lang w:val="en-GB"/>
        </w:rPr>
        <w:t xml:space="preserve"> authorities to effectively apply a penal system capable of punishing non-consensual sexual acts. </w:t>
      </w:r>
      <w:r w:rsidR="00E15047">
        <w:rPr>
          <w:lang w:val="en-GB"/>
        </w:rPr>
        <w:t>In particular, the Court emphasized that the authorities did not sufficiently examine the possibility that the applicant</w:t>
      </w:r>
      <w:r w:rsidR="00B068C6">
        <w:rPr>
          <w:lang w:val="en-GB"/>
        </w:rPr>
        <w:t>s</w:t>
      </w:r>
      <w:r w:rsidR="00E15047">
        <w:rPr>
          <w:lang w:val="en-GB"/>
        </w:rPr>
        <w:t xml:space="preserve"> might have been in a situation of a </w:t>
      </w:r>
      <w:r w:rsidR="007B2C21">
        <w:rPr>
          <w:lang w:val="en-GB"/>
        </w:rPr>
        <w:t>special</w:t>
      </w:r>
      <w:r w:rsidR="00E15047">
        <w:rPr>
          <w:lang w:val="en-GB"/>
        </w:rPr>
        <w:t xml:space="preserve"> vulnerability and dependence </w:t>
      </w:r>
      <w:r w:rsidR="00E15047" w:rsidRPr="00E15047">
        <w:t>vis-à-vis</w:t>
      </w:r>
      <w:r w:rsidR="00E15047">
        <w:t xml:space="preserve"> </w:t>
      </w:r>
      <w:r w:rsidR="00E15047" w:rsidRPr="00E15047">
        <w:rPr>
          <w:lang w:val="en-GB"/>
        </w:rPr>
        <w:t>the alleged perpetrator</w:t>
      </w:r>
      <w:r w:rsidR="00B068C6">
        <w:rPr>
          <w:lang w:val="en-GB"/>
        </w:rPr>
        <w:t>s</w:t>
      </w:r>
      <w:r w:rsidR="00E15047">
        <w:rPr>
          <w:lang w:val="en-GB"/>
        </w:rPr>
        <w:t xml:space="preserve"> who w</w:t>
      </w:r>
      <w:r w:rsidR="00B068C6">
        <w:rPr>
          <w:lang w:val="en-GB"/>
        </w:rPr>
        <w:t>ere in both cases</w:t>
      </w:r>
      <w:r w:rsidR="00E15047">
        <w:rPr>
          <w:lang w:val="en-GB"/>
        </w:rPr>
        <w:t xml:space="preserve"> Catholic priest</w:t>
      </w:r>
      <w:r w:rsidR="00B068C6">
        <w:rPr>
          <w:lang w:val="en-GB"/>
        </w:rPr>
        <w:t>s</w:t>
      </w:r>
      <w:r w:rsidR="00E15047">
        <w:rPr>
          <w:lang w:val="en-GB"/>
        </w:rPr>
        <w:t>.</w:t>
      </w:r>
    </w:p>
    <w:p w14:paraId="55BF2B13" w14:textId="24D76654" w:rsidR="00625985" w:rsidRPr="00AC3A5E" w:rsidRDefault="00625985" w:rsidP="00B068C6">
      <w:pPr>
        <w:pStyle w:val="Textodstavce"/>
        <w:rPr>
          <w:lang w:val="en-GB"/>
        </w:rPr>
      </w:pPr>
      <w:r w:rsidRPr="00B80AB8">
        <w:rPr>
          <w:lang w:val="en-GB"/>
        </w:rPr>
        <w:t xml:space="preserve">The present </w:t>
      </w:r>
      <w:r w:rsidR="00AB317E" w:rsidRPr="00B80AB8">
        <w:rPr>
          <w:lang w:val="en-GB"/>
        </w:rPr>
        <w:t xml:space="preserve">action </w:t>
      </w:r>
      <w:r w:rsidR="00A30046" w:rsidRPr="00B80AB8">
        <w:rPr>
          <w:lang w:val="en-GB"/>
        </w:rPr>
        <w:t>report</w:t>
      </w:r>
      <w:r w:rsidRPr="00B80AB8">
        <w:rPr>
          <w:lang w:val="en-GB"/>
        </w:rPr>
        <w:t xml:space="preserve"> </w:t>
      </w:r>
      <w:r w:rsidR="00B068C6" w:rsidRPr="00B80AB8">
        <w:rPr>
          <w:lang w:val="en-GB"/>
        </w:rPr>
        <w:t xml:space="preserve">covers both these judgments and replaces the action report submitted by the Government on 19 March 2025 in the case of </w:t>
      </w:r>
      <w:r w:rsidR="00B068C6" w:rsidRPr="00B80AB8">
        <w:rPr>
          <w:i/>
          <w:iCs/>
          <w:lang w:val="en-GB"/>
        </w:rPr>
        <w:t>Z v. the Czech Republic</w:t>
      </w:r>
      <w:r w:rsidR="00B068C6" w:rsidRPr="00B80AB8">
        <w:rPr>
          <w:lang w:val="en-GB"/>
        </w:rPr>
        <w:t>. It is</w:t>
      </w:r>
      <w:r w:rsidRPr="00B80AB8">
        <w:rPr>
          <w:lang w:val="en-GB"/>
        </w:rPr>
        <w:t xml:space="preserve"> intended to inform the</w:t>
      </w:r>
      <w:r w:rsidR="00FA478A" w:rsidRPr="00B80AB8">
        <w:rPr>
          <w:lang w:val="en-GB"/>
        </w:rPr>
        <w:t> </w:t>
      </w:r>
      <w:r w:rsidRPr="00B80AB8">
        <w:rPr>
          <w:lang w:val="en-GB"/>
        </w:rPr>
        <w:t xml:space="preserve">Committee of Ministers of </w:t>
      </w:r>
      <w:r w:rsidR="00B068C6" w:rsidRPr="00B80AB8">
        <w:rPr>
          <w:lang w:val="en-GB"/>
        </w:rPr>
        <w:t xml:space="preserve">both </w:t>
      </w:r>
      <w:r w:rsidRPr="00B80AB8">
        <w:rPr>
          <w:lang w:val="en-GB"/>
        </w:rPr>
        <w:t xml:space="preserve">individual and general measures </w:t>
      </w:r>
      <w:r w:rsidR="000928E3" w:rsidRPr="00B80AB8">
        <w:rPr>
          <w:lang w:val="en-GB"/>
        </w:rPr>
        <w:t>that ha</w:t>
      </w:r>
      <w:r w:rsidR="00510838" w:rsidRPr="00B80AB8">
        <w:rPr>
          <w:lang w:val="en-GB"/>
        </w:rPr>
        <w:t>ve</w:t>
      </w:r>
      <w:r w:rsidR="000928E3" w:rsidRPr="00B80AB8">
        <w:rPr>
          <w:lang w:val="en-GB"/>
        </w:rPr>
        <w:t xml:space="preserve"> been adopted </w:t>
      </w:r>
      <w:r w:rsidR="00F45416" w:rsidRPr="00B80AB8">
        <w:rPr>
          <w:lang w:val="en-GB"/>
        </w:rPr>
        <w:t>to</w:t>
      </w:r>
      <w:r w:rsidR="000928E3" w:rsidRPr="00B80AB8">
        <w:rPr>
          <w:lang w:val="en-GB"/>
        </w:rPr>
        <w:t xml:space="preserve"> </w:t>
      </w:r>
      <w:r w:rsidR="00AB317E" w:rsidRPr="00B80AB8">
        <w:rPr>
          <w:lang w:val="en-GB"/>
        </w:rPr>
        <w:t xml:space="preserve">properly </w:t>
      </w:r>
      <w:r w:rsidR="000928E3" w:rsidRPr="00B80AB8">
        <w:rPr>
          <w:lang w:val="en-GB"/>
        </w:rPr>
        <w:t>execute</w:t>
      </w:r>
      <w:r w:rsidRPr="00B80AB8">
        <w:rPr>
          <w:lang w:val="en-GB"/>
        </w:rPr>
        <w:t xml:space="preserve"> the </w:t>
      </w:r>
      <w:r w:rsidR="000928E3" w:rsidRPr="00B80AB8">
        <w:rPr>
          <w:lang w:val="en-GB"/>
        </w:rPr>
        <w:t>above judgment</w:t>
      </w:r>
      <w:r w:rsidR="00B068C6" w:rsidRPr="00B80AB8">
        <w:rPr>
          <w:lang w:val="en-GB"/>
        </w:rPr>
        <w:t>s</w:t>
      </w:r>
      <w:r w:rsidRPr="00B80AB8">
        <w:rPr>
          <w:lang w:val="en-GB"/>
        </w:rPr>
        <w:t>.</w:t>
      </w:r>
    </w:p>
    <w:p w14:paraId="21E45F9B" w14:textId="77777777" w:rsidR="00AF3177" w:rsidRPr="00AC3A5E" w:rsidRDefault="00AF3177" w:rsidP="00242A3B">
      <w:pPr>
        <w:pStyle w:val="Nadpissti"/>
        <w:spacing w:before="360"/>
        <w:rPr>
          <w:lang w:val="en-GB"/>
        </w:rPr>
      </w:pPr>
      <w:r w:rsidRPr="00AC3A5E">
        <w:rPr>
          <w:lang w:val="en-GB"/>
        </w:rPr>
        <w:t xml:space="preserve">I. </w:t>
      </w:r>
      <w:r w:rsidR="00593E3E" w:rsidRPr="00AC3A5E">
        <w:rPr>
          <w:lang w:val="en-GB"/>
        </w:rPr>
        <w:t>Individual measures</w:t>
      </w:r>
    </w:p>
    <w:p w14:paraId="51347FC5" w14:textId="4E5D2436" w:rsidR="0080464E" w:rsidRPr="002D0DB7" w:rsidRDefault="000F5680" w:rsidP="000F5680">
      <w:pPr>
        <w:pStyle w:val="Textodstavce"/>
        <w:rPr>
          <w:lang w:val="en-GB"/>
        </w:rPr>
      </w:pPr>
      <w:r>
        <w:rPr>
          <w:lang w:val="en-GB"/>
        </w:rPr>
        <w:t xml:space="preserve">In the case of </w:t>
      </w:r>
      <w:r w:rsidRPr="00B068C6">
        <w:rPr>
          <w:i/>
          <w:iCs/>
          <w:lang w:val="en-GB"/>
        </w:rPr>
        <w:t>Z v. the Czech Republic</w:t>
      </w:r>
      <w:r>
        <w:rPr>
          <w:lang w:val="en-GB"/>
        </w:rPr>
        <w:t>, the j</w:t>
      </w:r>
      <w:r w:rsidR="0080464E" w:rsidRPr="002D0DB7">
        <w:rPr>
          <w:lang w:val="en-GB"/>
        </w:rPr>
        <w:t xml:space="preserve">ust satisfaction awarded by the Court in the amount of </w:t>
      </w:r>
      <w:r w:rsidR="004341DF">
        <w:rPr>
          <w:lang w:val="en-GB"/>
        </w:rPr>
        <w:t xml:space="preserve">EUR </w:t>
      </w:r>
      <w:r w:rsidR="000928E3" w:rsidRPr="002D0DB7">
        <w:rPr>
          <w:lang w:val="en-GB"/>
        </w:rPr>
        <w:t>2</w:t>
      </w:r>
      <w:r w:rsidR="00A30046">
        <w:rPr>
          <w:lang w:val="en-GB"/>
        </w:rPr>
        <w:t>6</w:t>
      </w:r>
      <w:r w:rsidR="000928E3" w:rsidRPr="002D0DB7">
        <w:rPr>
          <w:lang w:val="en-GB"/>
        </w:rPr>
        <w:t xml:space="preserve"> </w:t>
      </w:r>
      <w:r w:rsidR="003741C0">
        <w:rPr>
          <w:lang w:val="en-GB"/>
        </w:rPr>
        <w:t>00</w:t>
      </w:r>
      <w:r w:rsidR="000928E3" w:rsidRPr="002D0DB7">
        <w:rPr>
          <w:lang w:val="en-GB"/>
        </w:rPr>
        <w:t>0</w:t>
      </w:r>
      <w:r w:rsidR="0080464E" w:rsidRPr="002D0DB7">
        <w:rPr>
          <w:lang w:val="en-GB"/>
        </w:rPr>
        <w:t xml:space="preserve"> was paid</w:t>
      </w:r>
      <w:r w:rsidR="003741C0">
        <w:rPr>
          <w:lang w:val="en-GB"/>
        </w:rPr>
        <w:t xml:space="preserve"> to the applicant</w:t>
      </w:r>
      <w:r w:rsidR="0080464E" w:rsidRPr="002D0DB7">
        <w:rPr>
          <w:lang w:val="en-GB"/>
        </w:rPr>
        <w:t xml:space="preserve"> on </w:t>
      </w:r>
      <w:r w:rsidR="004600EC">
        <w:rPr>
          <w:lang w:val="en-GB"/>
        </w:rPr>
        <w:t>8</w:t>
      </w:r>
      <w:r w:rsidR="003741C0">
        <w:rPr>
          <w:lang w:val="en-GB"/>
        </w:rPr>
        <w:t xml:space="preserve"> </w:t>
      </w:r>
      <w:r w:rsidR="004600EC">
        <w:rPr>
          <w:lang w:val="en-GB"/>
        </w:rPr>
        <w:t>November</w:t>
      </w:r>
      <w:r w:rsidR="00F45416" w:rsidRPr="002D0DB7">
        <w:rPr>
          <w:lang w:val="en-GB"/>
        </w:rPr>
        <w:t xml:space="preserve"> 202</w:t>
      </w:r>
      <w:r w:rsidR="003741C0">
        <w:rPr>
          <w:lang w:val="en-GB"/>
        </w:rPr>
        <w:t>4</w:t>
      </w:r>
      <w:r w:rsidR="00F45416" w:rsidRPr="002D0DB7">
        <w:rPr>
          <w:lang w:val="en-GB"/>
        </w:rPr>
        <w:t>.</w:t>
      </w:r>
      <w:r>
        <w:rPr>
          <w:lang w:val="en-GB"/>
        </w:rPr>
        <w:t xml:space="preserve"> In the case of </w:t>
      </w:r>
      <w:r>
        <w:rPr>
          <w:i/>
          <w:iCs/>
          <w:lang w:val="en-GB"/>
        </w:rPr>
        <w:t>Y</w:t>
      </w:r>
      <w:r w:rsidRPr="00B068C6">
        <w:rPr>
          <w:i/>
          <w:iCs/>
          <w:lang w:val="en-GB"/>
        </w:rPr>
        <w:t xml:space="preserve"> v. the Czech Republic</w:t>
      </w:r>
      <w:r>
        <w:rPr>
          <w:lang w:val="en-GB"/>
        </w:rPr>
        <w:t>, the j</w:t>
      </w:r>
      <w:r w:rsidRPr="002D0DB7">
        <w:rPr>
          <w:lang w:val="en-GB"/>
        </w:rPr>
        <w:t xml:space="preserve">ust satisfaction awarded by the Court in the amount of </w:t>
      </w:r>
      <w:r>
        <w:rPr>
          <w:lang w:val="en-GB"/>
        </w:rPr>
        <w:t xml:space="preserve">EUR </w:t>
      </w:r>
      <w:r w:rsidRPr="002D0DB7">
        <w:rPr>
          <w:lang w:val="en-GB"/>
        </w:rPr>
        <w:t>2</w:t>
      </w:r>
      <w:r>
        <w:rPr>
          <w:lang w:val="en-GB"/>
        </w:rPr>
        <w:t>9</w:t>
      </w:r>
      <w:r w:rsidRPr="002D0DB7">
        <w:rPr>
          <w:lang w:val="en-GB"/>
        </w:rPr>
        <w:t xml:space="preserve"> </w:t>
      </w:r>
      <w:r>
        <w:rPr>
          <w:lang w:val="en-GB"/>
        </w:rPr>
        <w:t>00</w:t>
      </w:r>
      <w:r w:rsidRPr="002D0DB7">
        <w:rPr>
          <w:lang w:val="en-GB"/>
        </w:rPr>
        <w:t>0 was paid</w:t>
      </w:r>
      <w:r>
        <w:rPr>
          <w:lang w:val="en-GB"/>
        </w:rPr>
        <w:t xml:space="preserve"> to the applicant</w:t>
      </w:r>
      <w:r w:rsidRPr="002D0DB7">
        <w:rPr>
          <w:lang w:val="en-GB"/>
        </w:rPr>
        <w:t xml:space="preserve"> on </w:t>
      </w:r>
      <w:r>
        <w:rPr>
          <w:lang w:val="en-GB"/>
        </w:rPr>
        <w:t>3 June</w:t>
      </w:r>
      <w:r w:rsidRPr="002D0DB7">
        <w:rPr>
          <w:lang w:val="en-GB"/>
        </w:rPr>
        <w:t xml:space="preserve"> 202</w:t>
      </w:r>
      <w:r>
        <w:rPr>
          <w:lang w:val="en-GB"/>
        </w:rPr>
        <w:t>5</w:t>
      </w:r>
      <w:r w:rsidRPr="002D0DB7">
        <w:rPr>
          <w:lang w:val="en-GB"/>
        </w:rPr>
        <w:t>.</w:t>
      </w:r>
      <w:r w:rsidR="0080464E" w:rsidRPr="002D0DB7">
        <w:rPr>
          <w:rStyle w:val="Znakapoznpodarou"/>
          <w:lang w:val="en-GB"/>
        </w:rPr>
        <w:footnoteReference w:id="1"/>
      </w:r>
    </w:p>
    <w:p w14:paraId="3326EB9D" w14:textId="77777777" w:rsidR="00444968" w:rsidRDefault="005768EA" w:rsidP="00EE740F">
      <w:pPr>
        <w:pStyle w:val="Textodstavce"/>
        <w:rPr>
          <w:lang w:val="en-GB"/>
        </w:rPr>
      </w:pPr>
      <w:r w:rsidRPr="002D0DB7">
        <w:rPr>
          <w:lang w:val="en-GB"/>
        </w:rPr>
        <w:t xml:space="preserve">The Government recall that the Constitutional Court Act offers the possibility to request </w:t>
      </w:r>
      <w:r w:rsidR="00AB317E">
        <w:rPr>
          <w:lang w:val="en-GB"/>
        </w:rPr>
        <w:t xml:space="preserve">the </w:t>
      </w:r>
      <w:r w:rsidRPr="002D0DB7">
        <w:rPr>
          <w:lang w:val="en-GB"/>
        </w:rPr>
        <w:t>reopening of the proceedings before the Constitutional Court following the judgment of the</w:t>
      </w:r>
      <w:r w:rsidR="00FA478A" w:rsidRPr="002D0DB7">
        <w:rPr>
          <w:lang w:val="en-GB"/>
        </w:rPr>
        <w:t> </w:t>
      </w:r>
      <w:r w:rsidRPr="002D0DB7">
        <w:rPr>
          <w:lang w:val="en-GB"/>
        </w:rPr>
        <w:t>Court.</w:t>
      </w:r>
      <w:r w:rsidRPr="002D0DB7">
        <w:rPr>
          <w:rStyle w:val="Znakapoznpodarou"/>
          <w:lang w:val="en-GB"/>
        </w:rPr>
        <w:footnoteReference w:id="2"/>
      </w:r>
      <w:r w:rsidRPr="002D0DB7">
        <w:rPr>
          <w:lang w:val="en-GB"/>
        </w:rPr>
        <w:t xml:space="preserve"> </w:t>
      </w:r>
    </w:p>
    <w:p w14:paraId="0475CA7E" w14:textId="73B47908" w:rsidR="009B565C" w:rsidRDefault="005768EA" w:rsidP="007866EF">
      <w:pPr>
        <w:pStyle w:val="Textodstavce"/>
        <w:rPr>
          <w:lang w:val="en-GB"/>
        </w:rPr>
      </w:pPr>
      <w:r w:rsidRPr="002D0DB7">
        <w:rPr>
          <w:lang w:val="en-GB"/>
        </w:rPr>
        <w:t xml:space="preserve">The applicant </w:t>
      </w:r>
      <w:r w:rsidR="00C638F6">
        <w:rPr>
          <w:lang w:val="en-GB"/>
        </w:rPr>
        <w:t xml:space="preserve">in </w:t>
      </w:r>
      <w:r w:rsidR="000F5680">
        <w:rPr>
          <w:lang w:val="en-GB"/>
        </w:rPr>
        <w:t xml:space="preserve">the case of </w:t>
      </w:r>
      <w:r w:rsidR="000F5680" w:rsidRPr="00B068C6">
        <w:rPr>
          <w:i/>
          <w:iCs/>
          <w:lang w:val="en-GB"/>
        </w:rPr>
        <w:t>Z v. the Czech Republic</w:t>
      </w:r>
      <w:r w:rsidR="000F5680" w:rsidRPr="002D0DB7">
        <w:rPr>
          <w:lang w:val="en-GB"/>
        </w:rPr>
        <w:t xml:space="preserve"> </w:t>
      </w:r>
      <w:r w:rsidRPr="002D0DB7">
        <w:rPr>
          <w:lang w:val="en-GB"/>
        </w:rPr>
        <w:t>avail</w:t>
      </w:r>
      <w:r w:rsidR="00EE740F">
        <w:rPr>
          <w:lang w:val="en-GB"/>
        </w:rPr>
        <w:t>ed</w:t>
      </w:r>
      <w:r w:rsidRPr="002D0DB7">
        <w:rPr>
          <w:lang w:val="en-GB"/>
        </w:rPr>
        <w:t xml:space="preserve"> </w:t>
      </w:r>
      <w:r w:rsidR="00894CCD">
        <w:rPr>
          <w:lang w:val="en-GB"/>
        </w:rPr>
        <w:t>herself</w:t>
      </w:r>
      <w:r w:rsidRPr="002D0DB7">
        <w:rPr>
          <w:lang w:val="en-GB"/>
        </w:rPr>
        <w:t xml:space="preserve"> of this possibility</w:t>
      </w:r>
      <w:r w:rsidR="00EE740F">
        <w:rPr>
          <w:lang w:val="en-GB"/>
        </w:rPr>
        <w:t xml:space="preserve"> in January 2025</w:t>
      </w:r>
      <w:r w:rsidR="000F5680">
        <w:rPr>
          <w:lang w:val="en-GB"/>
        </w:rPr>
        <w:t xml:space="preserve">. </w:t>
      </w:r>
      <w:r w:rsidR="00444968">
        <w:rPr>
          <w:lang w:val="en-GB"/>
        </w:rPr>
        <w:t xml:space="preserve">In May 2025, the Constitutional Court </w:t>
      </w:r>
      <w:hyperlink r:id="rId8" w:history="1">
        <w:r w:rsidR="00444968" w:rsidRPr="00444968">
          <w:rPr>
            <w:rStyle w:val="Hypertextovodkaz"/>
            <w:lang w:val="en-GB"/>
          </w:rPr>
          <w:t>decided</w:t>
        </w:r>
      </w:hyperlink>
      <w:r w:rsidR="00444968">
        <w:rPr>
          <w:lang w:val="en-GB"/>
        </w:rPr>
        <w:t xml:space="preserve"> to reopen </w:t>
      </w:r>
      <w:r w:rsidR="00C638F6">
        <w:rPr>
          <w:lang w:val="en-GB"/>
        </w:rPr>
        <w:t>th</w:t>
      </w:r>
      <w:r w:rsidR="00444968">
        <w:rPr>
          <w:lang w:val="en-GB"/>
        </w:rPr>
        <w:t xml:space="preserve">e proceedings in her case, and in July 2025, it </w:t>
      </w:r>
      <w:hyperlink r:id="rId9" w:history="1">
        <w:r w:rsidR="00444968" w:rsidRPr="00444968">
          <w:rPr>
            <w:rStyle w:val="Hypertextovodkaz"/>
            <w:lang w:val="en-GB"/>
          </w:rPr>
          <w:t>held</w:t>
        </w:r>
      </w:hyperlink>
      <w:r w:rsidR="00444968">
        <w:rPr>
          <w:lang w:val="en-GB"/>
        </w:rPr>
        <w:t xml:space="preserve"> in these reopened proceedings that</w:t>
      </w:r>
      <w:r w:rsidR="00C638F6">
        <w:rPr>
          <w:lang w:val="en-GB"/>
        </w:rPr>
        <w:t xml:space="preserve"> the</w:t>
      </w:r>
      <w:r w:rsidR="00444968">
        <w:rPr>
          <w:lang w:val="en-GB"/>
        </w:rPr>
        <w:t xml:space="preserve"> applicant</w:t>
      </w:r>
      <w:r w:rsidR="00444968" w:rsidRPr="002D0DB7">
        <w:rPr>
          <w:lang w:val="en-GB"/>
        </w:rPr>
        <w:t>’</w:t>
      </w:r>
      <w:r w:rsidR="00444968">
        <w:rPr>
          <w:lang w:val="en-GB"/>
        </w:rPr>
        <w:t xml:space="preserve">s human rights were violated by the </w:t>
      </w:r>
      <w:r w:rsidR="00C638F6">
        <w:rPr>
          <w:lang w:val="en-GB"/>
        </w:rPr>
        <w:t xml:space="preserve">respective </w:t>
      </w:r>
      <w:r w:rsidR="00444968">
        <w:rPr>
          <w:lang w:val="en-GB"/>
        </w:rPr>
        <w:t>decisions of police and prosecutor</w:t>
      </w:r>
      <w:r w:rsidR="00444968" w:rsidRPr="002D0DB7">
        <w:rPr>
          <w:lang w:val="en-GB"/>
        </w:rPr>
        <w:t>’</w:t>
      </w:r>
      <w:r w:rsidR="00444968">
        <w:rPr>
          <w:lang w:val="en-GB"/>
        </w:rPr>
        <w:t>s authorities, quashed these decisions and remitted the case for a new investigation.</w:t>
      </w:r>
    </w:p>
    <w:p w14:paraId="404CF44F" w14:textId="77777777" w:rsidR="00BE20E0" w:rsidRDefault="000F5680" w:rsidP="007866EF">
      <w:pPr>
        <w:pStyle w:val="Textodstavce"/>
      </w:pPr>
      <w:r>
        <w:rPr>
          <w:lang w:val="en-GB"/>
        </w:rPr>
        <w:t>The</w:t>
      </w:r>
      <w:r w:rsidR="00C638F6">
        <w:rPr>
          <w:lang w:val="en-GB"/>
        </w:rPr>
        <w:t xml:space="preserve"> applicant in the case of </w:t>
      </w:r>
      <w:r>
        <w:rPr>
          <w:i/>
          <w:iCs/>
          <w:lang w:val="en-GB"/>
        </w:rPr>
        <w:t>Y</w:t>
      </w:r>
      <w:r w:rsidRPr="00B068C6">
        <w:rPr>
          <w:i/>
          <w:iCs/>
          <w:lang w:val="en-GB"/>
        </w:rPr>
        <w:t xml:space="preserve"> v. the Czech Republic</w:t>
      </w:r>
      <w:r>
        <w:rPr>
          <w:i/>
          <w:iCs/>
          <w:lang w:val="en-GB"/>
        </w:rPr>
        <w:t xml:space="preserve"> </w:t>
      </w:r>
      <w:r>
        <w:rPr>
          <w:lang w:val="en-GB"/>
        </w:rPr>
        <w:t>filed a request for reopening of the proceedings in June 2025</w:t>
      </w:r>
      <w:r w:rsidR="009B565C">
        <w:rPr>
          <w:lang w:val="en-GB"/>
        </w:rPr>
        <w:t>; it is</w:t>
      </w:r>
      <w:r>
        <w:rPr>
          <w:lang w:val="en-GB"/>
        </w:rPr>
        <w:t xml:space="preserve"> </w:t>
      </w:r>
      <w:r w:rsidR="00EE740F">
        <w:rPr>
          <w:lang w:val="en-GB"/>
        </w:rPr>
        <w:t xml:space="preserve">being processed by the Constitutional Court under no. </w:t>
      </w:r>
      <w:hyperlink r:id="rId10" w:history="1">
        <w:proofErr w:type="spellStart"/>
        <w:r w:rsidR="00EE740F" w:rsidRPr="00EE740F">
          <w:rPr>
            <w:rStyle w:val="Hypertextovodkaz"/>
          </w:rPr>
          <w:t>Pl</w:t>
        </w:r>
        <w:proofErr w:type="spellEnd"/>
        <w:r w:rsidR="00EE740F" w:rsidRPr="00EE740F">
          <w:rPr>
            <w:rStyle w:val="Hypertextovodkaz"/>
          </w:rPr>
          <w:t>. ÚS 2</w:t>
        </w:r>
        <w:r>
          <w:rPr>
            <w:rStyle w:val="Hypertextovodkaz"/>
          </w:rPr>
          <w:t>7</w:t>
        </w:r>
        <w:r w:rsidR="00EE740F" w:rsidRPr="00EE740F">
          <w:rPr>
            <w:rStyle w:val="Hypertextovodkaz"/>
          </w:rPr>
          <w:t>/25</w:t>
        </w:r>
      </w:hyperlink>
      <w:r w:rsidR="00EE740F">
        <w:t>.</w:t>
      </w:r>
      <w:r w:rsidR="009B565C">
        <w:t xml:space="preserve"> </w:t>
      </w:r>
    </w:p>
    <w:p w14:paraId="3B127D66" w14:textId="2757C383" w:rsidR="007866EF" w:rsidRDefault="009B565C" w:rsidP="007866EF">
      <w:pPr>
        <w:pStyle w:val="Textodstavce"/>
        <w:rPr>
          <w:lang w:val="en-GB"/>
        </w:rPr>
      </w:pPr>
      <w:r w:rsidRPr="009B565C">
        <w:rPr>
          <w:lang w:val="en-GB"/>
        </w:rPr>
        <w:t xml:space="preserve">Moreover, </w:t>
      </w:r>
      <w:r>
        <w:rPr>
          <w:lang w:val="en-GB"/>
        </w:rPr>
        <w:t>in August 2025</w:t>
      </w:r>
      <w:r w:rsidR="00BE20E0">
        <w:rPr>
          <w:lang w:val="en-GB"/>
        </w:rPr>
        <w:t>,</w:t>
      </w:r>
      <w:r>
        <w:rPr>
          <w:lang w:val="en-GB"/>
        </w:rPr>
        <w:t xml:space="preserve"> the Constitutional Court issued a decision concerning the compensatory proceedings brought by the applicant </w:t>
      </w:r>
      <w:r w:rsidR="00BE20E0">
        <w:rPr>
          <w:lang w:val="en-GB"/>
        </w:rPr>
        <w:t xml:space="preserve">in the case of </w:t>
      </w:r>
      <w:r w:rsidR="00BE20E0">
        <w:rPr>
          <w:i/>
          <w:iCs/>
          <w:lang w:val="en-GB"/>
        </w:rPr>
        <w:t>Y</w:t>
      </w:r>
      <w:r w:rsidR="00BE20E0" w:rsidRPr="00B068C6">
        <w:rPr>
          <w:i/>
          <w:iCs/>
          <w:lang w:val="en-GB"/>
        </w:rPr>
        <w:t xml:space="preserve"> v. the Czech Republic</w:t>
      </w:r>
      <w:r w:rsidR="00BE20E0">
        <w:rPr>
          <w:i/>
          <w:iCs/>
          <w:lang w:val="en-GB"/>
        </w:rPr>
        <w:t xml:space="preserve"> </w:t>
      </w:r>
      <w:r>
        <w:rPr>
          <w:lang w:val="en-GB"/>
        </w:rPr>
        <w:t xml:space="preserve">in </w:t>
      </w:r>
      <w:r>
        <w:rPr>
          <w:lang w:val="en-GB"/>
        </w:rPr>
        <w:lastRenderedPageBreak/>
        <w:t>2022: in these proceeding</w:t>
      </w:r>
      <w:r w:rsidR="00BE20E0">
        <w:rPr>
          <w:lang w:val="en-GB"/>
        </w:rPr>
        <w:t>s</w:t>
      </w:r>
      <w:r>
        <w:rPr>
          <w:lang w:val="en-GB"/>
        </w:rPr>
        <w:t>, she was</w:t>
      </w:r>
      <w:bookmarkStart w:id="0" w:name="_Ref132199197"/>
      <w:r>
        <w:rPr>
          <w:lang w:val="en-GB"/>
        </w:rPr>
        <w:t xml:space="preserve"> </w:t>
      </w:r>
      <w:r w:rsidRPr="009B565C">
        <w:rPr>
          <w:lang w:val="en-GB"/>
        </w:rPr>
        <w:t xml:space="preserve">seeking </w:t>
      </w:r>
      <w:r w:rsidR="00BE20E0">
        <w:rPr>
          <w:lang w:val="en-GB"/>
        </w:rPr>
        <w:t xml:space="preserve">a </w:t>
      </w:r>
      <w:r w:rsidRPr="009B565C">
        <w:rPr>
          <w:lang w:val="en-GB"/>
        </w:rPr>
        <w:t xml:space="preserve">compensation for non-pecuniary damage pursuant to Act no. 82/1998 on State liability for damage, in connection with the police decision to discontinue the criminal proceedings </w:t>
      </w:r>
      <w:r w:rsidR="00BE20E0">
        <w:rPr>
          <w:lang w:val="en-GB"/>
        </w:rPr>
        <w:t>against her alleged sexual aggressor</w:t>
      </w:r>
      <w:r w:rsidRPr="009B565C">
        <w:rPr>
          <w:lang w:val="en-GB"/>
        </w:rPr>
        <w:t xml:space="preserve">. </w:t>
      </w:r>
      <w:r>
        <w:rPr>
          <w:lang w:val="en-GB"/>
        </w:rPr>
        <w:t xml:space="preserve">Her action was dismissed by ordinary courts </w:t>
      </w:r>
      <w:r w:rsidRPr="009B565C">
        <w:rPr>
          <w:lang w:val="en-GB"/>
        </w:rPr>
        <w:t>as time barred</w:t>
      </w:r>
      <w:r>
        <w:rPr>
          <w:lang w:val="en-GB"/>
        </w:rPr>
        <w:t xml:space="preserve"> with the argument that</w:t>
      </w:r>
      <w:r w:rsidRPr="009B565C">
        <w:rPr>
          <w:lang w:val="en-GB"/>
        </w:rPr>
        <w:t xml:space="preserve"> if the applicant claims an irregular official conduct on the part of police authorities, consisting of the failure in their duty to conduct an effective investigation, the six-month time limit for submitting the claim (set by Act no. 82/1998) started to run when the police decision to discontinue the criminal proceedings was delivered to the applicant</w:t>
      </w:r>
      <w:r>
        <w:rPr>
          <w:lang w:val="en-GB"/>
        </w:rPr>
        <w:t xml:space="preserve">, i.e. already in 2017, whereas </w:t>
      </w:r>
      <w:r w:rsidRPr="009B565C">
        <w:rPr>
          <w:lang w:val="en-GB"/>
        </w:rPr>
        <w:t>the applicant filed the action for compensation against the State only in 2022</w:t>
      </w:r>
      <w:bookmarkEnd w:id="0"/>
      <w:r>
        <w:rPr>
          <w:lang w:val="en-GB"/>
        </w:rPr>
        <w:t xml:space="preserve">. The Constitutional Court in its </w:t>
      </w:r>
      <w:hyperlink r:id="rId11" w:history="1">
        <w:r w:rsidRPr="009B565C">
          <w:rPr>
            <w:rStyle w:val="Hypertextovodkaz"/>
            <w:lang w:val="en-GB"/>
          </w:rPr>
          <w:t>decision</w:t>
        </w:r>
      </w:hyperlink>
      <w:r>
        <w:rPr>
          <w:lang w:val="en-GB"/>
        </w:rPr>
        <w:t xml:space="preserve"> held that </w:t>
      </w:r>
      <w:r w:rsidR="007866EF">
        <w:rPr>
          <w:lang w:val="en-GB"/>
        </w:rPr>
        <w:t xml:space="preserve">the </w:t>
      </w:r>
      <w:r w:rsidR="00BE20E0">
        <w:rPr>
          <w:lang w:val="en-GB"/>
        </w:rPr>
        <w:t>judgments</w:t>
      </w:r>
      <w:r w:rsidR="007866EF">
        <w:rPr>
          <w:lang w:val="en-GB"/>
        </w:rPr>
        <w:t xml:space="preserve"> of the ordinary courts violate </w:t>
      </w:r>
      <w:r w:rsidR="007866EF" w:rsidRPr="002D0DB7">
        <w:rPr>
          <w:lang w:val="en-GB"/>
        </w:rPr>
        <w:t>the applicant’</w:t>
      </w:r>
      <w:r w:rsidR="007866EF">
        <w:rPr>
          <w:lang w:val="en-GB"/>
        </w:rPr>
        <w:t xml:space="preserve">s right to a compensation of damage caused by State, since the time limit for submitting the claim in </w:t>
      </w:r>
      <w:r w:rsidR="00BE20E0">
        <w:rPr>
          <w:lang w:val="en-GB"/>
        </w:rPr>
        <w:t>her</w:t>
      </w:r>
      <w:r w:rsidR="007866EF">
        <w:rPr>
          <w:lang w:val="en-GB"/>
        </w:rPr>
        <w:t xml:space="preserve"> case will only start to run after the Constitutional Court issues its decision on the above-mentioned request of the applicant for reopening of the proceedings, because only on the basis of the Constitutional Court</w:t>
      </w:r>
      <w:r w:rsidR="007866EF" w:rsidRPr="002D0DB7">
        <w:rPr>
          <w:lang w:val="en-GB"/>
        </w:rPr>
        <w:t>’</w:t>
      </w:r>
      <w:r w:rsidR="007866EF">
        <w:rPr>
          <w:lang w:val="en-GB"/>
        </w:rPr>
        <w:t>s decision in the reopened proceedings it will be</w:t>
      </w:r>
      <w:r w:rsidR="00BE20E0">
        <w:rPr>
          <w:lang w:val="en-GB"/>
        </w:rPr>
        <w:t>come</w:t>
      </w:r>
      <w:r w:rsidR="007866EF">
        <w:rPr>
          <w:lang w:val="en-GB"/>
        </w:rPr>
        <w:t xml:space="preserve"> clear </w:t>
      </w:r>
      <w:r w:rsidR="00BE20E0">
        <w:rPr>
          <w:lang w:val="en-GB"/>
        </w:rPr>
        <w:t>to</w:t>
      </w:r>
      <w:r w:rsidR="007866EF">
        <w:rPr>
          <w:lang w:val="en-GB"/>
        </w:rPr>
        <w:t xml:space="preserve"> what extent her right to effective investigation was violated. According to the Constitutional Court, the fact that the j</w:t>
      </w:r>
      <w:r w:rsidR="007866EF" w:rsidRPr="002D0DB7">
        <w:rPr>
          <w:lang w:val="en-GB"/>
        </w:rPr>
        <w:t>ust satisfaction awarded by the Court</w:t>
      </w:r>
      <w:r w:rsidR="00BE20E0">
        <w:rPr>
          <w:lang w:val="en-GB"/>
        </w:rPr>
        <w:t xml:space="preserve"> in this case</w:t>
      </w:r>
      <w:r w:rsidR="007866EF">
        <w:rPr>
          <w:lang w:val="en-GB"/>
        </w:rPr>
        <w:t xml:space="preserve"> had already been paid to the applicant does not exclude that additional compensation could be a</w:t>
      </w:r>
      <w:r w:rsidR="00BE20E0">
        <w:rPr>
          <w:lang w:val="en-GB"/>
        </w:rPr>
        <w:t>ssign</w:t>
      </w:r>
      <w:r w:rsidR="007866EF">
        <w:rPr>
          <w:lang w:val="en-GB"/>
        </w:rPr>
        <w:t xml:space="preserve">ed to her by domestic courts; however, the amount awarded to the applicant by the Court can be taken into consideration in these </w:t>
      </w:r>
      <w:r w:rsidR="00BE20E0">
        <w:rPr>
          <w:lang w:val="en-GB"/>
        </w:rPr>
        <w:t xml:space="preserve">domestic </w:t>
      </w:r>
      <w:r w:rsidR="007866EF">
        <w:rPr>
          <w:lang w:val="en-GB"/>
        </w:rPr>
        <w:t>compensatory proceedings.</w:t>
      </w:r>
    </w:p>
    <w:p w14:paraId="5791F0CF" w14:textId="3CB4E6B9" w:rsidR="005768EA" w:rsidRPr="00AC3A5E" w:rsidRDefault="005768EA" w:rsidP="00994C75">
      <w:pPr>
        <w:pStyle w:val="Textodstavce"/>
        <w:rPr>
          <w:lang w:val="en-GB"/>
        </w:rPr>
      </w:pPr>
      <w:r w:rsidRPr="002D0DB7">
        <w:rPr>
          <w:lang w:val="en-GB"/>
        </w:rPr>
        <w:t xml:space="preserve">In view of </w:t>
      </w:r>
      <w:r w:rsidR="00415FB3" w:rsidRPr="002D0DB7">
        <w:rPr>
          <w:lang w:val="en-GB"/>
        </w:rPr>
        <w:t>the above, the</w:t>
      </w:r>
      <w:r w:rsidRPr="002D0DB7">
        <w:rPr>
          <w:lang w:val="en-GB"/>
        </w:rPr>
        <w:t xml:space="preserve"> Government believe that no other individual measures need to be adopted in </w:t>
      </w:r>
      <w:r w:rsidR="00415FB3" w:rsidRPr="002D0DB7">
        <w:rPr>
          <w:lang w:val="en-GB"/>
        </w:rPr>
        <w:t>the applicant</w:t>
      </w:r>
      <w:r w:rsidR="000F5680">
        <w:rPr>
          <w:lang w:val="en-GB"/>
        </w:rPr>
        <w:t>s</w:t>
      </w:r>
      <w:r w:rsidR="00415FB3" w:rsidRPr="002D0DB7">
        <w:rPr>
          <w:lang w:val="en-GB"/>
        </w:rPr>
        <w:t>’</w:t>
      </w:r>
      <w:r w:rsidRPr="002D0DB7">
        <w:rPr>
          <w:lang w:val="en-GB"/>
        </w:rPr>
        <w:t xml:space="preserve"> case</w:t>
      </w:r>
      <w:r w:rsidR="000F5680">
        <w:rPr>
          <w:lang w:val="en-GB"/>
        </w:rPr>
        <w:t>s</w:t>
      </w:r>
      <w:r w:rsidRPr="002D0DB7">
        <w:rPr>
          <w:lang w:val="en-GB"/>
        </w:rPr>
        <w:t>.</w:t>
      </w:r>
    </w:p>
    <w:p w14:paraId="4F3E4060" w14:textId="77777777" w:rsidR="00AF3177" w:rsidRPr="00AC3A5E" w:rsidRDefault="00AF3177" w:rsidP="00242A3B">
      <w:pPr>
        <w:pStyle w:val="Nadpissti"/>
        <w:spacing w:before="360"/>
        <w:rPr>
          <w:lang w:val="en-GB"/>
        </w:rPr>
      </w:pPr>
      <w:r w:rsidRPr="00AC3A5E">
        <w:rPr>
          <w:lang w:val="en-GB"/>
        </w:rPr>
        <w:t xml:space="preserve">II. </w:t>
      </w:r>
      <w:r w:rsidR="00593E3E" w:rsidRPr="00AC3A5E">
        <w:rPr>
          <w:lang w:val="en-GB"/>
        </w:rPr>
        <w:t>general measures</w:t>
      </w:r>
    </w:p>
    <w:p w14:paraId="22387AC5" w14:textId="5C7A6A13" w:rsidR="00C001AF" w:rsidRPr="00AB06F6" w:rsidRDefault="00C001AF" w:rsidP="00242A3B">
      <w:pPr>
        <w:pStyle w:val="Nadpispodsti"/>
        <w:spacing w:before="300"/>
        <w:rPr>
          <w:i/>
          <w:iCs/>
          <w:u w:val="none"/>
          <w:lang w:val="en-GB"/>
        </w:rPr>
      </w:pPr>
      <w:r w:rsidRPr="00AB06F6">
        <w:rPr>
          <w:i/>
          <w:iCs/>
          <w:u w:val="none"/>
          <w:lang w:val="en-GB"/>
        </w:rPr>
        <w:t xml:space="preserve">A. </w:t>
      </w:r>
      <w:r w:rsidR="00A57CA5" w:rsidRPr="00AB06F6">
        <w:rPr>
          <w:i/>
          <w:iCs/>
          <w:u w:val="none"/>
          <w:lang w:val="en-GB"/>
        </w:rPr>
        <w:t>Raising Awar</w:t>
      </w:r>
      <w:r w:rsidR="00554054">
        <w:rPr>
          <w:i/>
          <w:iCs/>
          <w:u w:val="none"/>
          <w:lang w:val="en-GB"/>
        </w:rPr>
        <w:t>e</w:t>
      </w:r>
      <w:r w:rsidR="00A57CA5" w:rsidRPr="00AB06F6">
        <w:rPr>
          <w:i/>
          <w:iCs/>
          <w:u w:val="none"/>
          <w:lang w:val="en-GB"/>
        </w:rPr>
        <w:t>ness and analysis of the judgment</w:t>
      </w:r>
      <w:r w:rsidR="00444968">
        <w:rPr>
          <w:i/>
          <w:iCs/>
          <w:u w:val="none"/>
          <w:lang w:val="en-GB"/>
        </w:rPr>
        <w:t>s</w:t>
      </w:r>
    </w:p>
    <w:p w14:paraId="2F916741" w14:textId="62F61CA1" w:rsidR="00A57CA5" w:rsidRDefault="00A57CA5" w:rsidP="00D945BD">
      <w:pPr>
        <w:pStyle w:val="Textodstavce"/>
        <w:rPr>
          <w:lang w:val="en-GB"/>
        </w:rPr>
      </w:pPr>
      <w:r w:rsidRPr="002C04DD">
        <w:rPr>
          <w:lang w:val="en-GB"/>
        </w:rPr>
        <w:t xml:space="preserve">The Ministry of Justice </w:t>
      </w:r>
      <w:r w:rsidR="00AB317E">
        <w:rPr>
          <w:lang w:val="en-GB"/>
        </w:rPr>
        <w:t>has informed the public about the judgment</w:t>
      </w:r>
      <w:r w:rsidR="00444968">
        <w:rPr>
          <w:lang w:val="en-GB"/>
        </w:rPr>
        <w:t>s</w:t>
      </w:r>
      <w:r w:rsidR="00AB317E">
        <w:rPr>
          <w:lang w:val="en-GB"/>
        </w:rPr>
        <w:t xml:space="preserve"> immediately after </w:t>
      </w:r>
      <w:r w:rsidR="00C638F6">
        <w:rPr>
          <w:lang w:val="en-GB"/>
        </w:rPr>
        <w:t>their</w:t>
      </w:r>
      <w:r w:rsidR="00AB317E">
        <w:rPr>
          <w:lang w:val="en-GB"/>
        </w:rPr>
        <w:t xml:space="preserve"> delivery in the form of </w:t>
      </w:r>
      <w:r w:rsidR="00444968">
        <w:rPr>
          <w:lang w:val="en-GB"/>
        </w:rPr>
        <w:t>press releases (</w:t>
      </w:r>
      <w:hyperlink r:id="rId12" w:history="1">
        <w:r w:rsidR="00444968" w:rsidRPr="00444968">
          <w:rPr>
            <w:rStyle w:val="Hypertextovodkaz"/>
            <w:lang w:val="en-GB"/>
          </w:rPr>
          <w:t>here</w:t>
        </w:r>
      </w:hyperlink>
      <w:r w:rsidR="00444968">
        <w:rPr>
          <w:lang w:val="en-GB"/>
        </w:rPr>
        <w:t xml:space="preserve"> and </w:t>
      </w:r>
      <w:hyperlink r:id="rId13" w:history="1">
        <w:r w:rsidR="00444968" w:rsidRPr="00D945BD">
          <w:rPr>
            <w:rStyle w:val="Hypertextovodkaz"/>
            <w:lang w:val="en-GB"/>
          </w:rPr>
          <w:t>here</w:t>
        </w:r>
      </w:hyperlink>
      <w:r w:rsidR="00444968">
        <w:rPr>
          <w:lang w:val="en-GB"/>
        </w:rPr>
        <w:t>).</w:t>
      </w:r>
      <w:r w:rsidR="00D945BD">
        <w:rPr>
          <w:lang w:val="en-GB"/>
        </w:rPr>
        <w:t xml:space="preserve"> </w:t>
      </w:r>
      <w:r w:rsidR="00AB317E">
        <w:rPr>
          <w:lang w:val="en-GB"/>
        </w:rPr>
        <w:t xml:space="preserve">It </w:t>
      </w:r>
      <w:r w:rsidRPr="002C04DD">
        <w:rPr>
          <w:lang w:val="en-GB"/>
        </w:rPr>
        <w:t xml:space="preserve">has </w:t>
      </w:r>
      <w:r w:rsidR="00AB317E">
        <w:rPr>
          <w:lang w:val="en-GB"/>
        </w:rPr>
        <w:t xml:space="preserve">further </w:t>
      </w:r>
      <w:r w:rsidRPr="002C04DD">
        <w:rPr>
          <w:lang w:val="en-GB"/>
        </w:rPr>
        <w:t>published the</w:t>
      </w:r>
      <w:r w:rsidR="008A5E5E">
        <w:rPr>
          <w:lang w:val="en-GB"/>
        </w:rPr>
        <w:t xml:space="preserve"> Czech</w:t>
      </w:r>
      <w:r w:rsidRPr="002C04DD">
        <w:rPr>
          <w:lang w:val="en-GB"/>
        </w:rPr>
        <w:t xml:space="preserve"> translation</w:t>
      </w:r>
      <w:r w:rsidR="00D945BD">
        <w:rPr>
          <w:lang w:val="en-GB"/>
        </w:rPr>
        <w:t>s</w:t>
      </w:r>
      <w:r w:rsidRPr="002C04DD">
        <w:rPr>
          <w:lang w:val="en-GB"/>
        </w:rPr>
        <w:t xml:space="preserve"> of the judgment</w:t>
      </w:r>
      <w:r w:rsidR="00444968">
        <w:rPr>
          <w:lang w:val="en-GB"/>
        </w:rPr>
        <w:t>s</w:t>
      </w:r>
      <w:r w:rsidRPr="002C04DD">
        <w:rPr>
          <w:lang w:val="en-GB"/>
        </w:rPr>
        <w:t xml:space="preserve"> </w:t>
      </w:r>
      <w:r w:rsidR="004600EC">
        <w:rPr>
          <w:lang w:val="en-GB"/>
        </w:rPr>
        <w:t xml:space="preserve">and </w:t>
      </w:r>
      <w:r w:rsidR="00D945BD">
        <w:rPr>
          <w:lang w:val="en-GB"/>
        </w:rPr>
        <w:t>their</w:t>
      </w:r>
      <w:r w:rsidR="004600EC">
        <w:rPr>
          <w:lang w:val="en-GB"/>
        </w:rPr>
        <w:t xml:space="preserve"> summar</w:t>
      </w:r>
      <w:r w:rsidR="00444968">
        <w:rPr>
          <w:lang w:val="en-GB"/>
        </w:rPr>
        <w:t xml:space="preserve">ies </w:t>
      </w:r>
      <w:r w:rsidRPr="002C04DD">
        <w:rPr>
          <w:lang w:val="en-GB"/>
        </w:rPr>
        <w:t xml:space="preserve">in its online database of the </w:t>
      </w:r>
      <w:r w:rsidR="008A5E5E">
        <w:rPr>
          <w:lang w:val="en-GB"/>
        </w:rPr>
        <w:t xml:space="preserve">international human rights </w:t>
      </w:r>
      <w:r w:rsidRPr="002C04DD">
        <w:rPr>
          <w:lang w:val="en-GB"/>
        </w:rPr>
        <w:t>case law (</w:t>
      </w:r>
      <w:hyperlink r:id="rId14" w:history="1">
        <w:r w:rsidR="00300776" w:rsidRPr="00300776">
          <w:rPr>
            <w:rStyle w:val="Hypertextovodkaz"/>
            <w:lang w:val="en-GB"/>
          </w:rPr>
          <w:t>mezisoudy.cz</w:t>
        </w:r>
      </w:hyperlink>
      <w:r w:rsidRPr="002C04DD">
        <w:rPr>
          <w:lang w:val="en-GB"/>
        </w:rPr>
        <w:t>)</w:t>
      </w:r>
      <w:r w:rsidR="00E1497F">
        <w:rPr>
          <w:rStyle w:val="Znakapoznpodarou"/>
          <w:lang w:val="en-GB"/>
        </w:rPr>
        <w:footnoteReference w:id="3"/>
      </w:r>
      <w:r w:rsidR="00B178F5" w:rsidRPr="002C04DD">
        <w:rPr>
          <w:lang w:val="en-GB"/>
        </w:rPr>
        <w:t xml:space="preserve"> </w:t>
      </w:r>
      <w:r w:rsidRPr="002C04DD">
        <w:rPr>
          <w:lang w:val="en-GB"/>
        </w:rPr>
        <w:t xml:space="preserve">and </w:t>
      </w:r>
      <w:r w:rsidR="004600EC">
        <w:rPr>
          <w:lang w:val="en-GB"/>
        </w:rPr>
        <w:t>the</w:t>
      </w:r>
      <w:r w:rsidRPr="002C04DD">
        <w:rPr>
          <w:lang w:val="en-GB"/>
        </w:rPr>
        <w:t xml:space="preserve"> summar</w:t>
      </w:r>
      <w:r w:rsidR="00444968">
        <w:rPr>
          <w:lang w:val="en-GB"/>
        </w:rPr>
        <w:t>ies</w:t>
      </w:r>
      <w:r w:rsidRPr="002C04DD">
        <w:rPr>
          <w:lang w:val="en-GB"/>
        </w:rPr>
        <w:t xml:space="preserve"> </w:t>
      </w:r>
      <w:r w:rsidR="004600EC">
        <w:rPr>
          <w:lang w:val="en-GB"/>
        </w:rPr>
        <w:t xml:space="preserve">also </w:t>
      </w:r>
      <w:r w:rsidRPr="002C04DD">
        <w:rPr>
          <w:lang w:val="en-GB"/>
        </w:rPr>
        <w:t>in the Government Agent’s Newsletter</w:t>
      </w:r>
      <w:r w:rsidR="002C74F9" w:rsidRPr="002C04DD">
        <w:rPr>
          <w:lang w:val="en-GB"/>
        </w:rPr>
        <w:t xml:space="preserve"> </w:t>
      </w:r>
      <w:r w:rsidR="00E61812" w:rsidRPr="002C04DD">
        <w:rPr>
          <w:lang w:val="en-GB"/>
        </w:rPr>
        <w:t>n</w:t>
      </w:r>
      <w:r w:rsidR="002C74F9" w:rsidRPr="002C04DD">
        <w:rPr>
          <w:lang w:val="en-GB"/>
        </w:rPr>
        <w:t>o</w:t>
      </w:r>
      <w:r w:rsidR="00D945BD">
        <w:rPr>
          <w:lang w:val="en-GB"/>
        </w:rPr>
        <w:t>s</w:t>
      </w:r>
      <w:r w:rsidR="002C74F9" w:rsidRPr="002C04DD">
        <w:rPr>
          <w:lang w:val="en-GB"/>
        </w:rPr>
        <w:t xml:space="preserve">. </w:t>
      </w:r>
      <w:r w:rsidR="004600EC">
        <w:rPr>
          <w:lang w:val="en-GB"/>
        </w:rPr>
        <w:t>4</w:t>
      </w:r>
      <w:r w:rsidR="002C74F9" w:rsidRPr="002C04DD">
        <w:rPr>
          <w:lang w:val="en-GB"/>
        </w:rPr>
        <w:t>/202</w:t>
      </w:r>
      <w:r w:rsidR="008A5E5E">
        <w:rPr>
          <w:lang w:val="en-GB"/>
        </w:rPr>
        <w:t>4</w:t>
      </w:r>
      <w:r w:rsidR="00444968">
        <w:rPr>
          <w:lang w:val="en-GB"/>
        </w:rPr>
        <w:t xml:space="preserve"> and</w:t>
      </w:r>
      <w:r w:rsidR="00D945BD">
        <w:rPr>
          <w:lang w:val="en-GB"/>
        </w:rPr>
        <w:t xml:space="preserve"> 2/2025</w:t>
      </w:r>
      <w:r w:rsidR="002C74F9" w:rsidRPr="002C04DD">
        <w:rPr>
          <w:lang w:val="en-GB"/>
        </w:rPr>
        <w:t xml:space="preserve"> (</w:t>
      </w:r>
      <w:hyperlink r:id="rId15" w:history="1">
        <w:r w:rsidR="008A5E5E">
          <w:rPr>
            <w:rStyle w:val="Hypertextovodkaz"/>
          </w:rPr>
          <w:t>Zpr</w:t>
        </w:r>
        <w:r w:rsidR="00300776">
          <w:rPr>
            <w:rStyle w:val="Hypertextovodkaz"/>
          </w:rPr>
          <w:t>a</w:t>
        </w:r>
        <w:r w:rsidR="008A5E5E">
          <w:rPr>
            <w:rStyle w:val="Hypertextovodkaz"/>
          </w:rPr>
          <w:t>vodaj KVZ)</w:t>
        </w:r>
      </w:hyperlink>
      <w:r w:rsidR="008A5E5E">
        <w:t>.</w:t>
      </w:r>
      <w:r w:rsidR="008A5E5E">
        <w:rPr>
          <w:lang w:val="en-GB"/>
        </w:rPr>
        <w:t xml:space="preserve"> </w:t>
      </w:r>
      <w:hyperlink r:id="rId16" w:history="1"/>
      <w:r w:rsidR="0092593D">
        <w:rPr>
          <w:lang w:val="en-GB"/>
        </w:rPr>
        <w:t>In addition</w:t>
      </w:r>
      <w:r w:rsidR="00571000" w:rsidRPr="002C04DD">
        <w:rPr>
          <w:lang w:val="en-GB"/>
        </w:rPr>
        <w:t xml:space="preserve">, </w:t>
      </w:r>
      <w:r w:rsidR="00FA478A" w:rsidRPr="002C04DD">
        <w:rPr>
          <w:lang w:val="en-GB"/>
        </w:rPr>
        <w:t xml:space="preserve">both </w:t>
      </w:r>
      <w:r w:rsidR="00E61812" w:rsidRPr="002C04DD">
        <w:rPr>
          <w:lang w:val="en-GB"/>
        </w:rPr>
        <w:t xml:space="preserve">the </w:t>
      </w:r>
      <w:r w:rsidR="00571000" w:rsidRPr="002C04DD">
        <w:rPr>
          <w:lang w:val="en-GB"/>
        </w:rPr>
        <w:t>t</w:t>
      </w:r>
      <w:r w:rsidRPr="002C04DD">
        <w:rPr>
          <w:lang w:val="en-GB"/>
        </w:rPr>
        <w:t>ranslation</w:t>
      </w:r>
      <w:r w:rsidR="00444968">
        <w:rPr>
          <w:lang w:val="en-GB"/>
        </w:rPr>
        <w:t>s</w:t>
      </w:r>
      <w:r w:rsidRPr="002C04DD">
        <w:rPr>
          <w:lang w:val="en-GB"/>
        </w:rPr>
        <w:t xml:space="preserve"> of the judgment</w:t>
      </w:r>
      <w:r w:rsidR="00444968">
        <w:rPr>
          <w:lang w:val="en-GB"/>
        </w:rPr>
        <w:t>s</w:t>
      </w:r>
      <w:r w:rsidRPr="002C04DD">
        <w:rPr>
          <w:lang w:val="en-GB"/>
        </w:rPr>
        <w:t xml:space="preserve"> and </w:t>
      </w:r>
      <w:r w:rsidR="00D945BD">
        <w:rPr>
          <w:lang w:val="en-GB"/>
        </w:rPr>
        <w:t>their</w:t>
      </w:r>
      <w:r w:rsidR="008A5E5E">
        <w:rPr>
          <w:lang w:val="en-GB"/>
        </w:rPr>
        <w:t xml:space="preserve"> </w:t>
      </w:r>
      <w:r w:rsidR="000805F7" w:rsidRPr="002C04DD">
        <w:rPr>
          <w:lang w:val="en-GB"/>
        </w:rPr>
        <w:t>summar</w:t>
      </w:r>
      <w:r w:rsidR="00444968">
        <w:rPr>
          <w:lang w:val="en-GB"/>
        </w:rPr>
        <w:t>ies</w:t>
      </w:r>
      <w:r w:rsidRPr="002C04DD">
        <w:rPr>
          <w:lang w:val="en-GB"/>
        </w:rPr>
        <w:t xml:space="preserve"> have been sent to </w:t>
      </w:r>
      <w:r w:rsidR="006A2BA3">
        <w:rPr>
          <w:lang w:val="en-GB"/>
        </w:rPr>
        <w:t xml:space="preserve">all </w:t>
      </w:r>
      <w:r w:rsidRPr="002C04DD">
        <w:rPr>
          <w:lang w:val="en-GB"/>
        </w:rPr>
        <w:t xml:space="preserve">the </w:t>
      </w:r>
      <w:r w:rsidR="006A2BA3">
        <w:rPr>
          <w:lang w:val="en-GB"/>
        </w:rPr>
        <w:t>public</w:t>
      </w:r>
      <w:r w:rsidRPr="002C04DD">
        <w:rPr>
          <w:lang w:val="en-GB"/>
        </w:rPr>
        <w:t xml:space="preserve"> authorities involved in the</w:t>
      </w:r>
      <w:r w:rsidR="00444968">
        <w:rPr>
          <w:lang w:val="en-GB"/>
        </w:rPr>
        <w:t>se</w:t>
      </w:r>
      <w:r w:rsidRPr="002C04DD">
        <w:rPr>
          <w:lang w:val="en-GB"/>
        </w:rPr>
        <w:t xml:space="preserve"> case</w:t>
      </w:r>
      <w:r w:rsidR="00444968">
        <w:rPr>
          <w:lang w:val="en-GB"/>
        </w:rPr>
        <w:t>s</w:t>
      </w:r>
      <w:r w:rsidR="00E15047" w:rsidRPr="00C256E7">
        <w:rPr>
          <w:lang w:val="en-GB"/>
        </w:rPr>
        <w:t>.</w:t>
      </w:r>
    </w:p>
    <w:p w14:paraId="74E456E9" w14:textId="16B53C22" w:rsidR="007B2C21" w:rsidRDefault="000805F7" w:rsidP="0092593D">
      <w:pPr>
        <w:pStyle w:val="Textodstavce"/>
        <w:rPr>
          <w:lang w:val="en-GB"/>
        </w:rPr>
      </w:pPr>
      <w:r w:rsidRPr="002C04DD">
        <w:rPr>
          <w:lang w:val="en-GB"/>
        </w:rPr>
        <w:t>After the delivery of the judgment</w:t>
      </w:r>
      <w:r w:rsidR="00D945BD">
        <w:rPr>
          <w:lang w:val="en-GB"/>
        </w:rPr>
        <w:t>s</w:t>
      </w:r>
      <w:r w:rsidRPr="002C04DD">
        <w:rPr>
          <w:lang w:val="en-GB"/>
        </w:rPr>
        <w:t xml:space="preserve">, </w:t>
      </w:r>
      <w:r w:rsidR="0092593D">
        <w:rPr>
          <w:lang w:val="en-GB"/>
        </w:rPr>
        <w:t>t</w:t>
      </w:r>
      <w:r w:rsidR="0092593D" w:rsidRPr="002C04DD">
        <w:rPr>
          <w:lang w:val="en-GB"/>
        </w:rPr>
        <w:t xml:space="preserve">he </w:t>
      </w:r>
      <w:r w:rsidR="00CC7591" w:rsidRPr="002C04DD">
        <w:rPr>
          <w:lang w:val="en-GB"/>
        </w:rPr>
        <w:t>Prosecutor General’s Office</w:t>
      </w:r>
      <w:r w:rsidR="00CC7591">
        <w:rPr>
          <w:lang w:val="en-GB"/>
        </w:rPr>
        <w:t xml:space="preserve"> </w:t>
      </w:r>
      <w:r w:rsidR="00C256E7">
        <w:rPr>
          <w:lang w:val="en-GB"/>
        </w:rPr>
        <w:t>inserted</w:t>
      </w:r>
      <w:r w:rsidR="007B2C21">
        <w:rPr>
          <w:lang w:val="en-GB"/>
        </w:rPr>
        <w:t xml:space="preserve"> </w:t>
      </w:r>
      <w:r w:rsidR="00CC7591">
        <w:rPr>
          <w:lang w:val="en-GB"/>
        </w:rPr>
        <w:t>the Czech</w:t>
      </w:r>
      <w:r w:rsidR="00CC7591" w:rsidRPr="002C04DD">
        <w:rPr>
          <w:lang w:val="en-GB"/>
        </w:rPr>
        <w:t xml:space="preserve"> translation</w:t>
      </w:r>
      <w:r w:rsidR="00D945BD">
        <w:rPr>
          <w:lang w:val="en-GB"/>
        </w:rPr>
        <w:t>s</w:t>
      </w:r>
      <w:r w:rsidR="00CC7591" w:rsidRPr="002C04DD">
        <w:rPr>
          <w:lang w:val="en-GB"/>
        </w:rPr>
        <w:t xml:space="preserve"> of the judgment</w:t>
      </w:r>
      <w:r w:rsidR="00D945BD">
        <w:rPr>
          <w:lang w:val="en-GB"/>
        </w:rPr>
        <w:t>s</w:t>
      </w:r>
      <w:r w:rsidR="00CC7591" w:rsidRPr="002C04DD">
        <w:rPr>
          <w:lang w:val="en-GB"/>
        </w:rPr>
        <w:t xml:space="preserve"> </w:t>
      </w:r>
      <w:r w:rsidR="00CC7591">
        <w:rPr>
          <w:lang w:val="en-GB"/>
        </w:rPr>
        <w:t xml:space="preserve">and </w:t>
      </w:r>
      <w:r w:rsidR="00D945BD">
        <w:rPr>
          <w:lang w:val="en-GB"/>
        </w:rPr>
        <w:t>their</w:t>
      </w:r>
      <w:r w:rsidR="00CC7591">
        <w:rPr>
          <w:lang w:val="en-GB"/>
        </w:rPr>
        <w:t xml:space="preserve"> summar</w:t>
      </w:r>
      <w:r w:rsidR="00D945BD">
        <w:rPr>
          <w:lang w:val="en-GB"/>
        </w:rPr>
        <w:t>ies</w:t>
      </w:r>
      <w:r w:rsidR="00CC7591">
        <w:rPr>
          <w:lang w:val="en-GB"/>
        </w:rPr>
        <w:t xml:space="preserve"> </w:t>
      </w:r>
      <w:r w:rsidR="00CC7591" w:rsidRPr="002C04DD">
        <w:rPr>
          <w:lang w:val="en-GB"/>
        </w:rPr>
        <w:t>in</w:t>
      </w:r>
      <w:r w:rsidR="00CC7591">
        <w:rPr>
          <w:lang w:val="en-GB"/>
        </w:rPr>
        <w:t>t</w:t>
      </w:r>
      <w:r w:rsidR="00D945BD">
        <w:rPr>
          <w:lang w:val="en-GB"/>
        </w:rPr>
        <w:t>o</w:t>
      </w:r>
      <w:r w:rsidR="00CC7591" w:rsidRPr="002C04DD">
        <w:rPr>
          <w:lang w:val="en-GB"/>
        </w:rPr>
        <w:t xml:space="preserve"> its </w:t>
      </w:r>
      <w:r w:rsidR="00CC7591">
        <w:rPr>
          <w:lang w:val="en-GB"/>
        </w:rPr>
        <w:t>internal</w:t>
      </w:r>
      <w:r w:rsidR="00CC7591" w:rsidRPr="002C04DD">
        <w:rPr>
          <w:lang w:val="en-GB"/>
        </w:rPr>
        <w:t xml:space="preserve"> database</w:t>
      </w:r>
      <w:r w:rsidR="00CC7591">
        <w:rPr>
          <w:lang w:val="en-GB"/>
        </w:rPr>
        <w:t xml:space="preserve"> and informed about </w:t>
      </w:r>
      <w:r w:rsidR="007B2C21">
        <w:rPr>
          <w:lang w:val="en-GB"/>
        </w:rPr>
        <w:t>the judgment</w:t>
      </w:r>
      <w:r w:rsidR="00D945BD">
        <w:rPr>
          <w:lang w:val="en-GB"/>
        </w:rPr>
        <w:t>s</w:t>
      </w:r>
      <w:r w:rsidR="00CC7591">
        <w:rPr>
          <w:lang w:val="en-GB"/>
        </w:rPr>
        <w:t xml:space="preserve"> in the newsletter</w:t>
      </w:r>
      <w:r w:rsidR="00C638F6">
        <w:rPr>
          <w:lang w:val="en-GB"/>
        </w:rPr>
        <w:t>s</w:t>
      </w:r>
      <w:r w:rsidR="00CC7591">
        <w:rPr>
          <w:lang w:val="en-GB"/>
        </w:rPr>
        <w:t xml:space="preserve"> distributed to all Czech prosecutors. </w:t>
      </w:r>
    </w:p>
    <w:p w14:paraId="232A63FE" w14:textId="1510A0F9" w:rsidR="00CC7591" w:rsidRDefault="00CC7591" w:rsidP="0092593D">
      <w:pPr>
        <w:pStyle w:val="Textodstavce"/>
        <w:rPr>
          <w:lang w:val="en-GB"/>
        </w:rPr>
      </w:pPr>
      <w:r>
        <w:rPr>
          <w:lang w:val="en-GB"/>
        </w:rPr>
        <w:t>The Supreme Court transmitted the judgment</w:t>
      </w:r>
      <w:r w:rsidR="00D945BD">
        <w:rPr>
          <w:lang w:val="en-GB"/>
        </w:rPr>
        <w:t>s</w:t>
      </w:r>
      <w:r>
        <w:rPr>
          <w:lang w:val="en-GB"/>
        </w:rPr>
        <w:t xml:space="preserve"> to the criminal divisions of all regional courts.</w:t>
      </w:r>
    </w:p>
    <w:p w14:paraId="18C260A3" w14:textId="6459147A" w:rsidR="00D96C82" w:rsidRDefault="0092593D" w:rsidP="00B14E86">
      <w:pPr>
        <w:pStyle w:val="Textodstavce"/>
        <w:rPr>
          <w:lang w:val="en-GB"/>
        </w:rPr>
      </w:pPr>
      <w:r w:rsidRPr="00AF49BE">
        <w:rPr>
          <w:lang w:val="en-GB"/>
        </w:rPr>
        <w:t xml:space="preserve">The execution of the judgment </w:t>
      </w:r>
      <w:r w:rsidR="00444968">
        <w:rPr>
          <w:lang w:val="en-GB"/>
        </w:rPr>
        <w:t xml:space="preserve">in the case of </w:t>
      </w:r>
      <w:r w:rsidR="00444968" w:rsidRPr="00B068C6">
        <w:rPr>
          <w:i/>
          <w:iCs/>
          <w:lang w:val="en-GB"/>
        </w:rPr>
        <w:t>Z v. the Czech Republic</w:t>
      </w:r>
      <w:r w:rsidR="00444968" w:rsidRPr="00AF49BE">
        <w:rPr>
          <w:lang w:val="en-GB"/>
        </w:rPr>
        <w:t xml:space="preserve"> </w:t>
      </w:r>
      <w:r w:rsidRPr="00AF49BE">
        <w:rPr>
          <w:lang w:val="en-GB"/>
        </w:rPr>
        <w:t xml:space="preserve">was further discussed at the </w:t>
      </w:r>
      <w:r>
        <w:rPr>
          <w:lang w:val="en-GB"/>
        </w:rPr>
        <w:t>1</w:t>
      </w:r>
      <w:r w:rsidR="004600EC">
        <w:rPr>
          <w:lang w:val="en-GB"/>
        </w:rPr>
        <w:t>1</w:t>
      </w:r>
      <w:r w:rsidRPr="006432AD">
        <w:rPr>
          <w:vertAlign w:val="superscript"/>
          <w:lang w:val="en-GB"/>
        </w:rPr>
        <w:t>th</w:t>
      </w:r>
      <w:r w:rsidRPr="00AF49BE">
        <w:rPr>
          <w:lang w:val="en-GB"/>
        </w:rPr>
        <w:t xml:space="preserve"> meeting of the Committee of Experts for the Execution of Judgments of the </w:t>
      </w:r>
      <w:r w:rsidRPr="00AF49BE">
        <w:rPr>
          <w:lang w:val="en-GB"/>
        </w:rPr>
        <w:lastRenderedPageBreak/>
        <w:t>Court and the Implementation of the Convention</w:t>
      </w:r>
      <w:r w:rsidRPr="00AF49BE">
        <w:rPr>
          <w:rStyle w:val="Znakapoznpodarou"/>
          <w:lang w:val="en-GB"/>
        </w:rPr>
        <w:footnoteReference w:id="4"/>
      </w:r>
      <w:r w:rsidRPr="00AF49BE">
        <w:rPr>
          <w:lang w:val="en-GB"/>
        </w:rPr>
        <w:t xml:space="preserve"> held on </w:t>
      </w:r>
      <w:r w:rsidR="004600EC">
        <w:rPr>
          <w:lang w:val="en-GB"/>
        </w:rPr>
        <w:t>11</w:t>
      </w:r>
      <w:r>
        <w:rPr>
          <w:lang w:val="en-GB"/>
        </w:rPr>
        <w:t xml:space="preserve"> </w:t>
      </w:r>
      <w:r w:rsidR="004600EC">
        <w:rPr>
          <w:lang w:val="en-GB"/>
        </w:rPr>
        <w:t>December</w:t>
      </w:r>
      <w:r w:rsidRPr="00AF49BE">
        <w:rPr>
          <w:lang w:val="en-GB"/>
        </w:rPr>
        <w:t xml:space="preserve"> 202</w:t>
      </w:r>
      <w:r>
        <w:rPr>
          <w:lang w:val="en-GB"/>
        </w:rPr>
        <w:t>4</w:t>
      </w:r>
      <w:r w:rsidR="006628F3">
        <w:rPr>
          <w:lang w:val="en-GB"/>
        </w:rPr>
        <w:t xml:space="preserve"> (</w:t>
      </w:r>
      <w:r w:rsidR="00D96C82">
        <w:rPr>
          <w:lang w:val="en-GB"/>
        </w:rPr>
        <w:t xml:space="preserve">the </w:t>
      </w:r>
      <w:r w:rsidR="00A57910">
        <w:rPr>
          <w:lang w:val="en-GB"/>
        </w:rPr>
        <w:t xml:space="preserve">background </w:t>
      </w:r>
      <w:r w:rsidR="00D96C82">
        <w:rPr>
          <w:lang w:val="en-GB"/>
        </w:rPr>
        <w:t xml:space="preserve">materials for this meeting, as well as the summary of the debates, are available </w:t>
      </w:r>
      <w:hyperlink r:id="rId17" w:history="1">
        <w:r w:rsidR="00D96C82" w:rsidRPr="00D96C82">
          <w:rPr>
            <w:rStyle w:val="Hypertextovodkaz"/>
            <w:lang w:val="en-GB"/>
          </w:rPr>
          <w:t>online</w:t>
        </w:r>
      </w:hyperlink>
      <w:r w:rsidR="00D96C82">
        <w:rPr>
          <w:lang w:val="en-GB"/>
        </w:rPr>
        <w:t>). At the 12</w:t>
      </w:r>
      <w:r w:rsidR="00D96C82" w:rsidRPr="00D96C82">
        <w:rPr>
          <w:vertAlign w:val="superscript"/>
          <w:lang w:val="en-GB"/>
        </w:rPr>
        <w:t>th</w:t>
      </w:r>
      <w:r w:rsidR="00D96C82">
        <w:rPr>
          <w:lang w:val="en-GB"/>
        </w:rPr>
        <w:t xml:space="preserve"> meeting of the Committee of Experts, which took place on 15 May 2025, the</w:t>
      </w:r>
      <w:r w:rsidR="00B14E86">
        <w:rPr>
          <w:lang w:val="en-GB"/>
        </w:rPr>
        <w:t xml:space="preserve"> case of </w:t>
      </w:r>
      <w:r w:rsidR="00B14E86">
        <w:rPr>
          <w:i/>
          <w:iCs/>
          <w:lang w:val="en-GB"/>
        </w:rPr>
        <w:t>Y</w:t>
      </w:r>
      <w:r w:rsidR="00B14E86" w:rsidRPr="00B068C6">
        <w:rPr>
          <w:i/>
          <w:iCs/>
          <w:lang w:val="en-GB"/>
        </w:rPr>
        <w:t xml:space="preserve"> v. the Czech Republic</w:t>
      </w:r>
      <w:r w:rsidR="00B14E86">
        <w:rPr>
          <w:i/>
          <w:iCs/>
          <w:lang w:val="en-GB"/>
        </w:rPr>
        <w:t xml:space="preserve"> </w:t>
      </w:r>
      <w:r w:rsidR="00B14E86">
        <w:rPr>
          <w:lang w:val="en-GB"/>
        </w:rPr>
        <w:t xml:space="preserve">was covered via the </w:t>
      </w:r>
      <w:r w:rsidR="00A57910">
        <w:rPr>
          <w:lang w:val="en-GB"/>
        </w:rPr>
        <w:t xml:space="preserve">background </w:t>
      </w:r>
      <w:r w:rsidR="00B14E86">
        <w:rPr>
          <w:lang w:val="en-GB"/>
        </w:rPr>
        <w:t xml:space="preserve">materials, also available </w:t>
      </w:r>
      <w:hyperlink r:id="rId18" w:history="1">
        <w:r w:rsidR="00B14E86" w:rsidRPr="00B14E86">
          <w:rPr>
            <w:rStyle w:val="Hypertextovodkaz"/>
            <w:lang w:val="en-GB"/>
          </w:rPr>
          <w:t>online</w:t>
        </w:r>
      </w:hyperlink>
      <w:r w:rsidR="00B14E86">
        <w:rPr>
          <w:lang w:val="en-GB"/>
        </w:rPr>
        <w:t xml:space="preserve">; due to its similarity with the case of </w:t>
      </w:r>
      <w:r w:rsidR="00B14E86" w:rsidRPr="00B068C6">
        <w:rPr>
          <w:i/>
          <w:iCs/>
          <w:lang w:val="en-GB"/>
        </w:rPr>
        <w:t>Z v. the Czech Republic</w:t>
      </w:r>
      <w:r w:rsidR="00B14E86">
        <w:rPr>
          <w:lang w:val="en-GB"/>
        </w:rPr>
        <w:t>, it was not included in the oral debates.</w:t>
      </w:r>
    </w:p>
    <w:p w14:paraId="3A9A96D7" w14:textId="2578DE77" w:rsidR="00C145DE" w:rsidRPr="00B14E86" w:rsidRDefault="00C145DE" w:rsidP="00B14E86">
      <w:pPr>
        <w:pStyle w:val="Textodstavce"/>
        <w:rPr>
          <w:lang w:val="en-GB"/>
        </w:rPr>
      </w:pPr>
      <w:r>
        <w:rPr>
          <w:lang w:val="en-GB"/>
        </w:rPr>
        <w:t>In August 202</w:t>
      </w:r>
      <w:r w:rsidR="00AF70E9">
        <w:rPr>
          <w:lang w:val="en-GB"/>
        </w:rPr>
        <w:t>5</w:t>
      </w:r>
      <w:r>
        <w:rPr>
          <w:lang w:val="en-GB"/>
        </w:rPr>
        <w:t xml:space="preserve">, </w:t>
      </w:r>
      <w:r w:rsidR="00AF70E9">
        <w:rPr>
          <w:lang w:val="en-GB"/>
        </w:rPr>
        <w:t>an</w:t>
      </w:r>
      <w:r>
        <w:rPr>
          <w:lang w:val="en-GB"/>
        </w:rPr>
        <w:t xml:space="preserve"> analysis of both judgments was published in the </w:t>
      </w:r>
      <w:hyperlink r:id="rId19" w:history="1">
        <w:r w:rsidR="00D151AD">
          <w:rPr>
            <w:rStyle w:val="Hypertextovodkaz"/>
            <w:lang w:val="en-GB"/>
          </w:rPr>
          <w:t>edito</w:t>
        </w:r>
        <w:r w:rsidR="00D151AD">
          <w:rPr>
            <w:rStyle w:val="Hypertextovodkaz"/>
            <w:lang w:val="en-GB"/>
          </w:rPr>
          <w:t>r</w:t>
        </w:r>
        <w:r w:rsidR="00D151AD">
          <w:rPr>
            <w:rStyle w:val="Hypertextovodkaz"/>
            <w:lang w:val="en-GB"/>
          </w:rPr>
          <w:t>ial</w:t>
        </w:r>
      </w:hyperlink>
      <w:r>
        <w:rPr>
          <w:lang w:val="en-GB"/>
        </w:rPr>
        <w:t xml:space="preserve"> </w:t>
      </w:r>
      <w:r w:rsidR="00D151AD">
        <w:rPr>
          <w:lang w:val="en-GB"/>
        </w:rPr>
        <w:t>of</w:t>
      </w:r>
      <w:r>
        <w:rPr>
          <w:lang w:val="en-GB"/>
        </w:rPr>
        <w:t xml:space="preserve"> the quarterly magazine </w:t>
      </w:r>
      <w:r w:rsidRPr="008620B2">
        <w:rPr>
          <w:i/>
          <w:iCs/>
          <w:lang w:val="en-GB"/>
        </w:rPr>
        <w:t>Selection of the judgments of the European Court of Human Rights for judicial practice</w:t>
      </w:r>
      <w:r>
        <w:rPr>
          <w:lang w:val="en-GB"/>
        </w:rPr>
        <w:t xml:space="preserve">, No. 3/2025, </w:t>
      </w:r>
      <w:r w:rsidR="007301AC">
        <w:rPr>
          <w:lang w:val="en-GB"/>
        </w:rPr>
        <w:t>issue</w:t>
      </w:r>
      <w:r>
        <w:rPr>
          <w:lang w:val="en-GB"/>
        </w:rPr>
        <w:t xml:space="preserve">d by the Supreme Court of the Czech Republic in cooperation with the </w:t>
      </w:r>
      <w:r w:rsidRPr="002C04DD">
        <w:rPr>
          <w:lang w:val="en-GB"/>
        </w:rPr>
        <w:t>Government Agent’s Office</w:t>
      </w:r>
      <w:r>
        <w:rPr>
          <w:lang w:val="en-GB"/>
        </w:rPr>
        <w:t>.</w:t>
      </w:r>
    </w:p>
    <w:p w14:paraId="2463AFCE" w14:textId="611FD568" w:rsidR="005F0FB6" w:rsidRPr="00AB06F6" w:rsidRDefault="00C73CFE" w:rsidP="00242A3B">
      <w:pPr>
        <w:pStyle w:val="Nadpispodsti"/>
        <w:spacing w:before="300"/>
        <w:rPr>
          <w:i/>
          <w:iCs/>
          <w:u w:val="none"/>
          <w:lang w:val="en-GB"/>
        </w:rPr>
      </w:pPr>
      <w:r w:rsidRPr="00AB06F6">
        <w:rPr>
          <w:i/>
          <w:iCs/>
          <w:u w:val="none"/>
          <w:lang w:val="en-GB"/>
        </w:rPr>
        <w:t>B</w:t>
      </w:r>
      <w:r w:rsidR="00AC3A5E" w:rsidRPr="00AB06F6">
        <w:rPr>
          <w:i/>
          <w:iCs/>
          <w:u w:val="none"/>
          <w:lang w:val="en-GB"/>
        </w:rPr>
        <w:t xml:space="preserve">. </w:t>
      </w:r>
      <w:r w:rsidR="005F0FB6">
        <w:rPr>
          <w:i/>
          <w:iCs/>
          <w:u w:val="none"/>
          <w:lang w:val="en-GB"/>
        </w:rPr>
        <w:t xml:space="preserve">Measures </w:t>
      </w:r>
      <w:r w:rsidR="00CC7591">
        <w:rPr>
          <w:i/>
          <w:iCs/>
          <w:u w:val="none"/>
          <w:lang w:val="en-GB"/>
        </w:rPr>
        <w:t>required in czech legal order</w:t>
      </w:r>
    </w:p>
    <w:p w14:paraId="0B9EBFC8" w14:textId="4A1B8651" w:rsidR="00AB2F7F" w:rsidRPr="00AB2F7F" w:rsidRDefault="00CC7591" w:rsidP="00AB2F7F">
      <w:pPr>
        <w:pStyle w:val="Textodstavce"/>
        <w:rPr>
          <w:lang w:val="en-GB"/>
        </w:rPr>
      </w:pPr>
      <w:r>
        <w:rPr>
          <w:lang w:val="en-GB"/>
        </w:rPr>
        <w:t xml:space="preserve">It follows from the written consultations carried out by the </w:t>
      </w:r>
      <w:r w:rsidRPr="002C04DD">
        <w:rPr>
          <w:lang w:val="en-GB"/>
        </w:rPr>
        <w:t>Government Agent’s Office</w:t>
      </w:r>
      <w:r>
        <w:rPr>
          <w:lang w:val="en-GB"/>
        </w:rPr>
        <w:t xml:space="preserve"> with all the relevant public bodies</w:t>
      </w:r>
      <w:r w:rsidR="007B2C21">
        <w:rPr>
          <w:lang w:val="en-GB"/>
        </w:rPr>
        <w:t>, as well as from the above-mentioned meeting</w:t>
      </w:r>
      <w:r w:rsidR="003534BB">
        <w:rPr>
          <w:lang w:val="en-GB"/>
        </w:rPr>
        <w:t>s</w:t>
      </w:r>
      <w:r w:rsidR="007B2C21">
        <w:rPr>
          <w:lang w:val="en-GB"/>
        </w:rPr>
        <w:t xml:space="preserve"> of the Committee of Experts,</w:t>
      </w:r>
      <w:r>
        <w:rPr>
          <w:lang w:val="en-GB"/>
        </w:rPr>
        <w:t xml:space="preserve"> that </w:t>
      </w:r>
      <w:bookmarkStart w:id="1" w:name="_Hlk208506663"/>
      <w:proofErr w:type="gramStart"/>
      <w:r>
        <w:rPr>
          <w:lang w:val="en-GB"/>
        </w:rPr>
        <w:t>in order to</w:t>
      </w:r>
      <w:proofErr w:type="gramEnd"/>
      <w:r>
        <w:rPr>
          <w:lang w:val="en-GB"/>
        </w:rPr>
        <w:t xml:space="preserve"> implement the judgment</w:t>
      </w:r>
      <w:r w:rsidR="00D945BD">
        <w:rPr>
          <w:lang w:val="en-GB"/>
        </w:rPr>
        <w:t>s</w:t>
      </w:r>
      <w:r>
        <w:rPr>
          <w:lang w:val="en-GB"/>
        </w:rPr>
        <w:t xml:space="preserve">, </w:t>
      </w:r>
      <w:r w:rsidR="00AB2F7F">
        <w:rPr>
          <w:lang w:val="en-GB"/>
        </w:rPr>
        <w:t xml:space="preserve">it is </w:t>
      </w:r>
      <w:r w:rsidR="00AB2F7F" w:rsidRPr="005F4EDC">
        <w:rPr>
          <w:b/>
          <w:bCs/>
          <w:lang w:val="en-GB"/>
        </w:rPr>
        <w:t xml:space="preserve">not necessary to amend the existing </w:t>
      </w:r>
      <w:r w:rsidR="007B2C21">
        <w:rPr>
          <w:b/>
          <w:bCs/>
          <w:lang w:val="en-GB"/>
        </w:rPr>
        <w:t xml:space="preserve">Czech </w:t>
      </w:r>
      <w:r w:rsidR="00AB2F7F" w:rsidRPr="005F4EDC">
        <w:rPr>
          <w:b/>
          <w:bCs/>
          <w:lang w:val="en-GB"/>
        </w:rPr>
        <w:t>legal regulation</w:t>
      </w:r>
      <w:r w:rsidR="00AB2F7F">
        <w:rPr>
          <w:lang w:val="en-GB"/>
        </w:rPr>
        <w:t xml:space="preserve">. This is mainly </w:t>
      </w:r>
      <w:proofErr w:type="gramStart"/>
      <w:r w:rsidR="00AB2F7F">
        <w:rPr>
          <w:lang w:val="en-GB"/>
        </w:rPr>
        <w:t>due to the fact that</w:t>
      </w:r>
      <w:proofErr w:type="gramEnd"/>
      <w:r w:rsidR="00AB2F7F">
        <w:rPr>
          <w:lang w:val="en-GB"/>
        </w:rPr>
        <w:t xml:space="preserve"> the case</w:t>
      </w:r>
      <w:r w:rsidR="00D945BD">
        <w:rPr>
          <w:lang w:val="en-GB"/>
        </w:rPr>
        <w:t>s</w:t>
      </w:r>
      <w:r w:rsidR="00AB2F7F">
        <w:rPr>
          <w:lang w:val="en-GB"/>
        </w:rPr>
        <w:t xml:space="preserve"> at hand w</w:t>
      </w:r>
      <w:r w:rsidR="00D945BD">
        <w:rPr>
          <w:lang w:val="en-GB"/>
        </w:rPr>
        <w:t>ere</w:t>
      </w:r>
      <w:r w:rsidR="00AB2F7F">
        <w:rPr>
          <w:lang w:val="en-GB"/>
        </w:rPr>
        <w:t xml:space="preserve"> governed </w:t>
      </w:r>
      <w:r w:rsidR="00D945BD">
        <w:rPr>
          <w:lang w:val="en-GB"/>
        </w:rPr>
        <w:t xml:space="preserve">primarily </w:t>
      </w:r>
      <w:r w:rsidR="00AB2F7F">
        <w:rPr>
          <w:lang w:val="en-GB"/>
        </w:rPr>
        <w:t xml:space="preserve">by the Criminal Code effective until 31 December 2009 (Act no. 140/1961). In the meantime, </w:t>
      </w:r>
      <w:r w:rsidR="00C64448">
        <w:rPr>
          <w:lang w:val="en-GB"/>
        </w:rPr>
        <w:t xml:space="preserve">however, </w:t>
      </w:r>
      <w:r w:rsidR="00AB2F7F">
        <w:rPr>
          <w:lang w:val="en-GB"/>
        </w:rPr>
        <w:t>the Czech Republic has introduced a new Criminal Code (Act no.</w:t>
      </w:r>
      <w:r w:rsidR="00D151AD">
        <w:rPr>
          <w:lang w:val="en-GB"/>
        </w:rPr>
        <w:t> </w:t>
      </w:r>
      <w:r w:rsidR="00AB2F7F">
        <w:rPr>
          <w:lang w:val="en-GB"/>
        </w:rPr>
        <w:t>40/2009) and its amendment (Act no. 166/2024) which are better aligned with the requirements contained in the Court</w:t>
      </w:r>
      <w:r w:rsidR="00AB2F7F" w:rsidRPr="002C04DD">
        <w:rPr>
          <w:lang w:val="en-GB"/>
        </w:rPr>
        <w:t>’s</w:t>
      </w:r>
      <w:r w:rsidR="00AB2F7F">
        <w:rPr>
          <w:lang w:val="en-GB"/>
        </w:rPr>
        <w:t xml:space="preserve"> judgment</w:t>
      </w:r>
      <w:r w:rsidR="00C638F6">
        <w:rPr>
          <w:lang w:val="en-GB"/>
        </w:rPr>
        <w:t>s</w:t>
      </w:r>
      <w:r w:rsidR="00AB2F7F">
        <w:rPr>
          <w:lang w:val="en-GB"/>
        </w:rPr>
        <w:t>.</w:t>
      </w:r>
    </w:p>
    <w:bookmarkEnd w:id="1"/>
    <w:p w14:paraId="7CA607BF" w14:textId="5E29FB7F" w:rsidR="00C64448" w:rsidRPr="00C64448" w:rsidRDefault="00C64448" w:rsidP="00242A3B">
      <w:pPr>
        <w:pStyle w:val="Nadpisoddlu"/>
        <w:numPr>
          <w:ilvl w:val="0"/>
          <w:numId w:val="3"/>
        </w:numPr>
        <w:spacing w:before="300"/>
        <w:ind w:left="714" w:hanging="357"/>
        <w:rPr>
          <w:lang w:val="en-GB"/>
        </w:rPr>
      </w:pPr>
      <w:r w:rsidRPr="00C64448">
        <w:rPr>
          <w:lang w:val="en-GB"/>
        </w:rPr>
        <w:t>Act no. 40/2009, the Criminal Code (effect</w:t>
      </w:r>
      <w:r>
        <w:rPr>
          <w:lang w:val="en-GB"/>
        </w:rPr>
        <w:t xml:space="preserve">ive </w:t>
      </w:r>
      <w:r w:rsidRPr="00C64448">
        <w:rPr>
          <w:lang w:val="en-GB"/>
        </w:rPr>
        <w:t>since 1 January 2010)</w:t>
      </w:r>
    </w:p>
    <w:p w14:paraId="0B83EE6F" w14:textId="6F27A1ED" w:rsidR="0041431E" w:rsidRDefault="00991798" w:rsidP="00C64448">
      <w:pPr>
        <w:pStyle w:val="Textodstavce"/>
        <w:rPr>
          <w:lang w:val="en-GB"/>
        </w:rPr>
      </w:pPr>
      <w:r>
        <w:rPr>
          <w:lang w:val="en-GB"/>
        </w:rPr>
        <w:t xml:space="preserve">In its judgment in the case </w:t>
      </w:r>
      <w:r w:rsidR="00D945BD">
        <w:rPr>
          <w:lang w:val="en-GB"/>
        </w:rPr>
        <w:t xml:space="preserve">of </w:t>
      </w:r>
      <w:r w:rsidR="00D945BD" w:rsidRPr="00B068C6">
        <w:rPr>
          <w:i/>
          <w:iCs/>
          <w:lang w:val="en-GB"/>
        </w:rPr>
        <w:t>Z v. the Czech Republic</w:t>
      </w:r>
      <w:r>
        <w:rPr>
          <w:lang w:val="en-GB"/>
        </w:rPr>
        <w:t>, the Court itself remark</w:t>
      </w:r>
      <w:r w:rsidR="00D151AD">
        <w:rPr>
          <w:lang w:val="en-GB"/>
        </w:rPr>
        <w:t>ed</w:t>
      </w:r>
      <w:r>
        <w:rPr>
          <w:lang w:val="en-GB"/>
        </w:rPr>
        <w:t xml:space="preserve"> that th</w:t>
      </w:r>
      <w:r w:rsidR="0041431E">
        <w:rPr>
          <w:lang w:val="en-GB"/>
        </w:rPr>
        <w:t>e</w:t>
      </w:r>
      <w:r>
        <w:rPr>
          <w:lang w:val="en-GB"/>
        </w:rPr>
        <w:t xml:space="preserve"> new</w:t>
      </w:r>
      <w:r w:rsidR="0041431E">
        <w:rPr>
          <w:lang w:val="en-GB"/>
        </w:rPr>
        <w:t xml:space="preserve"> Czech</w:t>
      </w:r>
      <w:r>
        <w:rPr>
          <w:lang w:val="en-GB"/>
        </w:rPr>
        <w:t xml:space="preserve"> Criminal Code and </w:t>
      </w:r>
      <w:r w:rsidR="007B2C21">
        <w:rPr>
          <w:lang w:val="en-GB"/>
        </w:rPr>
        <w:t xml:space="preserve">related </w:t>
      </w:r>
      <w:r>
        <w:rPr>
          <w:lang w:val="en-GB"/>
        </w:rPr>
        <w:t>the case-law of the Supreme Court represent a more appropriate State response in the given area (§ 59 of the judgment)</w:t>
      </w:r>
      <w:r w:rsidR="0041431E">
        <w:rPr>
          <w:lang w:val="en-GB"/>
        </w:rPr>
        <w:t>:</w:t>
      </w:r>
    </w:p>
    <w:p w14:paraId="78544C5E" w14:textId="1DBC0468" w:rsidR="0041431E" w:rsidRDefault="0041431E" w:rsidP="0041431E">
      <w:pPr>
        <w:pStyle w:val="Textodstavce"/>
        <w:numPr>
          <w:ilvl w:val="0"/>
          <w:numId w:val="4"/>
        </w:numPr>
        <w:rPr>
          <w:lang w:val="en-GB"/>
        </w:rPr>
      </w:pPr>
      <w:r w:rsidRPr="0041431E">
        <w:rPr>
          <w:lang w:val="en-GB"/>
        </w:rPr>
        <w:t>In particular, the Court ma</w:t>
      </w:r>
      <w:r w:rsidR="00D151AD">
        <w:rPr>
          <w:lang w:val="en-GB"/>
        </w:rPr>
        <w:t>de</w:t>
      </w:r>
      <w:r w:rsidRPr="0041431E">
        <w:rPr>
          <w:lang w:val="en-GB"/>
        </w:rPr>
        <w:t xml:space="preserve"> a reference to the </w:t>
      </w:r>
      <w:r w:rsidR="00B52258">
        <w:rPr>
          <w:lang w:val="en-GB"/>
        </w:rPr>
        <w:t>offence</w:t>
      </w:r>
      <w:r w:rsidRPr="0041431E">
        <w:rPr>
          <w:lang w:val="en-GB"/>
        </w:rPr>
        <w:t xml:space="preserve"> of </w:t>
      </w:r>
      <w:r w:rsidRPr="0041431E">
        <w:rPr>
          <w:b/>
          <w:bCs/>
          <w:lang w:val="en-GB"/>
        </w:rPr>
        <w:t xml:space="preserve">rape </w:t>
      </w:r>
      <w:r w:rsidRPr="0041431E">
        <w:rPr>
          <w:lang w:val="en-GB"/>
        </w:rPr>
        <w:t>as defined by Section 185(1) of Act no. 40/2009, where, according to the Supreme Court, in order for the definition of “</w:t>
      </w:r>
      <w:r w:rsidR="00E0710B">
        <w:rPr>
          <w:lang w:val="en-GB"/>
        </w:rPr>
        <w:t>force</w:t>
      </w:r>
      <w:r w:rsidRPr="0041431E">
        <w:rPr>
          <w:lang w:val="en-GB"/>
        </w:rPr>
        <w:t>” to be met, “it is not necessary for the injured party to have put up evident physical resistance; it is sufficient that the injured party’s objection to the offender’s conduct must have been obvious to the offender” (Supreme Court’s decision no. 11 </w:t>
      </w:r>
      <w:proofErr w:type="spellStart"/>
      <w:r w:rsidRPr="0041431E">
        <w:rPr>
          <w:lang w:val="en-GB"/>
        </w:rPr>
        <w:t>Tdo</w:t>
      </w:r>
      <w:proofErr w:type="spellEnd"/>
      <w:r w:rsidRPr="0041431E">
        <w:rPr>
          <w:lang w:val="en-GB"/>
        </w:rPr>
        <w:t> 294/2014</w:t>
      </w:r>
      <w:bookmarkStart w:id="2" w:name="_Ref132199735"/>
      <w:r w:rsidRPr="0041431E">
        <w:rPr>
          <w:lang w:val="en-GB"/>
        </w:rPr>
        <w:t xml:space="preserve"> of 26 March 2014)</w:t>
      </w:r>
      <w:r>
        <w:rPr>
          <w:lang w:val="en-GB"/>
        </w:rPr>
        <w:t>, wh</w:t>
      </w:r>
      <w:r w:rsidR="00C256E7">
        <w:rPr>
          <w:lang w:val="en-GB"/>
        </w:rPr>
        <w:t>ile</w:t>
      </w:r>
      <w:r>
        <w:rPr>
          <w:lang w:val="en-GB"/>
        </w:rPr>
        <w:t xml:space="preserve"> this objection might be expressed also nonverbally, e.g. by a body position (</w:t>
      </w:r>
      <w:r w:rsidR="00B52258">
        <w:rPr>
          <w:lang w:val="en-GB"/>
        </w:rPr>
        <w:t>S</w:t>
      </w:r>
      <w:r w:rsidR="00B52258" w:rsidRPr="0041431E">
        <w:rPr>
          <w:lang w:val="en-GB"/>
        </w:rPr>
        <w:t>upreme Court’s decision no. </w:t>
      </w:r>
      <w:r w:rsidR="00B52258">
        <w:rPr>
          <w:lang w:val="en-GB"/>
        </w:rPr>
        <w:t>8</w:t>
      </w:r>
      <w:r w:rsidR="00B52258" w:rsidRPr="0041431E">
        <w:rPr>
          <w:lang w:val="en-GB"/>
        </w:rPr>
        <w:t> </w:t>
      </w:r>
      <w:proofErr w:type="spellStart"/>
      <w:r w:rsidR="00B52258" w:rsidRPr="0041431E">
        <w:rPr>
          <w:lang w:val="en-GB"/>
        </w:rPr>
        <w:t>Tdo</w:t>
      </w:r>
      <w:proofErr w:type="spellEnd"/>
      <w:r w:rsidR="00B52258" w:rsidRPr="0041431E">
        <w:rPr>
          <w:lang w:val="en-GB"/>
        </w:rPr>
        <w:t> </w:t>
      </w:r>
      <w:r w:rsidR="00B52258">
        <w:rPr>
          <w:lang w:val="en-GB"/>
        </w:rPr>
        <w:t>699</w:t>
      </w:r>
      <w:r w:rsidR="00B52258" w:rsidRPr="0041431E">
        <w:rPr>
          <w:lang w:val="en-GB"/>
        </w:rPr>
        <w:t>/20</w:t>
      </w:r>
      <w:r w:rsidR="00B52258">
        <w:rPr>
          <w:lang w:val="en-GB"/>
        </w:rPr>
        <w:t>21</w:t>
      </w:r>
      <w:r w:rsidR="00B52258" w:rsidRPr="0041431E">
        <w:rPr>
          <w:lang w:val="en-GB"/>
        </w:rPr>
        <w:t xml:space="preserve"> of </w:t>
      </w:r>
      <w:r w:rsidR="00B52258">
        <w:rPr>
          <w:lang w:val="en-GB"/>
        </w:rPr>
        <w:t>4</w:t>
      </w:r>
      <w:r w:rsidR="00B52258" w:rsidRPr="0041431E">
        <w:rPr>
          <w:lang w:val="en-GB"/>
        </w:rPr>
        <w:t> </w:t>
      </w:r>
      <w:r w:rsidR="00B52258">
        <w:rPr>
          <w:lang w:val="en-GB"/>
        </w:rPr>
        <w:t>August 2021) or by pulling away or passivity (S</w:t>
      </w:r>
      <w:r w:rsidR="00B52258" w:rsidRPr="0041431E">
        <w:rPr>
          <w:lang w:val="en-GB"/>
        </w:rPr>
        <w:t>upreme Court’s decision no. </w:t>
      </w:r>
      <w:r w:rsidR="00B52258">
        <w:rPr>
          <w:lang w:val="en-GB"/>
        </w:rPr>
        <w:t>7</w:t>
      </w:r>
      <w:r w:rsidR="00B52258" w:rsidRPr="0041431E">
        <w:rPr>
          <w:lang w:val="en-GB"/>
        </w:rPr>
        <w:t> </w:t>
      </w:r>
      <w:proofErr w:type="spellStart"/>
      <w:r w:rsidR="00B52258" w:rsidRPr="0041431E">
        <w:rPr>
          <w:lang w:val="en-GB"/>
        </w:rPr>
        <w:t>Tdo</w:t>
      </w:r>
      <w:proofErr w:type="spellEnd"/>
      <w:r w:rsidR="00B52258" w:rsidRPr="0041431E">
        <w:rPr>
          <w:lang w:val="en-GB"/>
        </w:rPr>
        <w:t> </w:t>
      </w:r>
      <w:r w:rsidR="00B52258">
        <w:rPr>
          <w:lang w:val="en-GB"/>
        </w:rPr>
        <w:t>1023</w:t>
      </w:r>
      <w:r w:rsidR="00B52258" w:rsidRPr="0041431E">
        <w:rPr>
          <w:lang w:val="en-GB"/>
        </w:rPr>
        <w:t>/20</w:t>
      </w:r>
      <w:r w:rsidR="00B52258">
        <w:rPr>
          <w:lang w:val="en-GB"/>
        </w:rPr>
        <w:t>21</w:t>
      </w:r>
      <w:r w:rsidR="00B52258" w:rsidRPr="0041431E">
        <w:rPr>
          <w:lang w:val="en-GB"/>
        </w:rPr>
        <w:t xml:space="preserve"> of </w:t>
      </w:r>
      <w:r w:rsidR="00B52258">
        <w:rPr>
          <w:lang w:val="en-GB"/>
        </w:rPr>
        <w:t>10</w:t>
      </w:r>
      <w:r w:rsidR="00B52258" w:rsidRPr="0041431E">
        <w:rPr>
          <w:lang w:val="en-GB"/>
        </w:rPr>
        <w:t> </w:t>
      </w:r>
      <w:r w:rsidR="00B52258">
        <w:rPr>
          <w:lang w:val="en-GB"/>
        </w:rPr>
        <w:t>November 2021).</w:t>
      </w:r>
    </w:p>
    <w:p w14:paraId="5390F1C3" w14:textId="5101D336" w:rsidR="00E0710B" w:rsidRPr="00E0710B" w:rsidRDefault="00B52258" w:rsidP="00E0710B">
      <w:pPr>
        <w:pStyle w:val="Textodstavce"/>
        <w:numPr>
          <w:ilvl w:val="0"/>
          <w:numId w:val="4"/>
        </w:numPr>
        <w:rPr>
          <w:lang w:val="en-GB"/>
        </w:rPr>
      </w:pPr>
      <w:r>
        <w:rPr>
          <w:lang w:val="en-GB"/>
        </w:rPr>
        <w:t xml:space="preserve">The </w:t>
      </w:r>
      <w:r w:rsidR="007B2C21">
        <w:rPr>
          <w:lang w:val="en-GB"/>
        </w:rPr>
        <w:t>Court</w:t>
      </w:r>
      <w:r w:rsidR="007B2C21" w:rsidRPr="002C04DD">
        <w:rPr>
          <w:lang w:val="en-GB"/>
        </w:rPr>
        <w:t>’s</w:t>
      </w:r>
      <w:r w:rsidR="007B2C21">
        <w:rPr>
          <w:lang w:val="en-GB"/>
        </w:rPr>
        <w:t xml:space="preserve"> judgment </w:t>
      </w:r>
      <w:r>
        <w:rPr>
          <w:lang w:val="en-GB"/>
        </w:rPr>
        <w:t>also draw</w:t>
      </w:r>
      <w:r w:rsidR="007B2C21">
        <w:rPr>
          <w:lang w:val="en-GB"/>
        </w:rPr>
        <w:t>s</w:t>
      </w:r>
      <w:r>
        <w:rPr>
          <w:lang w:val="en-GB"/>
        </w:rPr>
        <w:t xml:space="preserve"> attention to the fact that according to the domestic authorities involved in the case at hand, it might have been possible to assess the conduct of the suspect as an offence of </w:t>
      </w:r>
      <w:r w:rsidRPr="00B52258">
        <w:rPr>
          <w:b/>
          <w:bCs/>
          <w:lang w:val="en-GB"/>
        </w:rPr>
        <w:t>sexual coercion</w:t>
      </w:r>
      <w:r>
        <w:rPr>
          <w:lang w:val="en-GB"/>
        </w:rPr>
        <w:t xml:space="preserve"> in the sense of </w:t>
      </w:r>
      <w:r w:rsidRPr="0041431E">
        <w:rPr>
          <w:lang w:val="en-GB"/>
        </w:rPr>
        <w:t>Section 18</w:t>
      </w:r>
      <w:r>
        <w:rPr>
          <w:lang w:val="en-GB"/>
        </w:rPr>
        <w:t>6</w:t>
      </w:r>
      <w:r w:rsidRPr="0041431E">
        <w:rPr>
          <w:lang w:val="en-GB"/>
        </w:rPr>
        <w:t>(</w:t>
      </w:r>
      <w:r>
        <w:rPr>
          <w:lang w:val="en-GB"/>
        </w:rPr>
        <w:t>2</w:t>
      </w:r>
      <w:r w:rsidRPr="0041431E">
        <w:rPr>
          <w:lang w:val="en-GB"/>
        </w:rPr>
        <w:t>) of the Act no. 40/2009</w:t>
      </w:r>
      <w:r>
        <w:rPr>
          <w:lang w:val="en-GB"/>
        </w:rPr>
        <w:t xml:space="preserve">. This offence, newly introduced by </w:t>
      </w:r>
      <w:r w:rsidRPr="0041431E">
        <w:rPr>
          <w:lang w:val="en-GB"/>
        </w:rPr>
        <w:t>Act no. 40/2009</w:t>
      </w:r>
      <w:r>
        <w:rPr>
          <w:lang w:val="en-GB"/>
        </w:rPr>
        <w:t>, applies to all sexual acts</w:t>
      </w:r>
      <w:r w:rsidR="008671BA">
        <w:rPr>
          <w:lang w:val="en-GB"/>
        </w:rPr>
        <w:t xml:space="preserve"> where the perpetrator </w:t>
      </w:r>
      <w:r w:rsidR="008671BA" w:rsidRPr="008671BA">
        <w:rPr>
          <w:lang w:val="en-GB"/>
        </w:rPr>
        <w:t xml:space="preserve">exploits the victim’s </w:t>
      </w:r>
      <w:r w:rsidR="008671BA" w:rsidRPr="008671BA">
        <w:rPr>
          <w:lang w:val="en-GB"/>
        </w:rPr>
        <w:lastRenderedPageBreak/>
        <w:t>dependence or his or her own position and the trustworthiness or influence resulting therefrom.</w:t>
      </w:r>
      <w:r w:rsidR="008671BA">
        <w:rPr>
          <w:lang w:val="en-GB"/>
        </w:rPr>
        <w:t xml:space="preserve"> </w:t>
      </w:r>
      <w:r w:rsidR="008671BA" w:rsidRPr="008671BA">
        <w:rPr>
          <w:lang w:val="en-GB"/>
        </w:rPr>
        <w:t>T</w:t>
      </w:r>
      <w:r w:rsidRPr="008671BA">
        <w:rPr>
          <w:lang w:val="en-GB"/>
        </w:rPr>
        <w:t>h</w:t>
      </w:r>
      <w:r w:rsidR="00C256E7">
        <w:rPr>
          <w:lang w:val="en-GB"/>
        </w:rPr>
        <w:t>e above</w:t>
      </w:r>
      <w:r w:rsidRPr="008671BA">
        <w:rPr>
          <w:lang w:val="en-GB"/>
        </w:rPr>
        <w:t xml:space="preserve"> interpretation seems to be confirmed by the recent case-law of the Supreme Court</w:t>
      </w:r>
      <w:r w:rsidR="00E0710B">
        <w:rPr>
          <w:lang w:val="en-GB"/>
        </w:rPr>
        <w:t xml:space="preserve"> which include</w:t>
      </w:r>
      <w:r w:rsidR="00C256E7">
        <w:rPr>
          <w:lang w:val="en-GB"/>
        </w:rPr>
        <w:t>s</w:t>
      </w:r>
      <w:r w:rsidR="00E0710B">
        <w:rPr>
          <w:lang w:val="en-GB"/>
        </w:rPr>
        <w:t xml:space="preserve"> under the offence of sexual coercion also </w:t>
      </w:r>
      <w:r w:rsidR="007B2C21">
        <w:rPr>
          <w:lang w:val="en-GB"/>
        </w:rPr>
        <w:t>the</w:t>
      </w:r>
      <w:r w:rsidR="00E0710B">
        <w:rPr>
          <w:lang w:val="en-GB"/>
        </w:rPr>
        <w:t xml:space="preserve"> conduct of a Catholic priest against adult members of the church who </w:t>
      </w:r>
      <w:r w:rsidR="00C256E7">
        <w:rPr>
          <w:lang w:val="en-GB"/>
        </w:rPr>
        <w:t>regard</w:t>
      </w:r>
      <w:r w:rsidR="00E0710B">
        <w:rPr>
          <w:lang w:val="en-GB"/>
        </w:rPr>
        <w:t>ed the priest as a religious authority</w:t>
      </w:r>
      <w:bookmarkEnd w:id="2"/>
      <w:r w:rsidR="00E0710B">
        <w:rPr>
          <w:lang w:val="en-GB"/>
        </w:rPr>
        <w:t xml:space="preserve"> </w:t>
      </w:r>
      <w:r w:rsidR="00E0710B" w:rsidRPr="00E0710B">
        <w:rPr>
          <w:lang w:val="en-GB"/>
        </w:rPr>
        <w:t>(Supreme Court’s decision no. 6 </w:t>
      </w:r>
      <w:proofErr w:type="spellStart"/>
      <w:r w:rsidR="00E0710B" w:rsidRPr="00E0710B">
        <w:rPr>
          <w:lang w:val="en-GB"/>
        </w:rPr>
        <w:t>Tdo</w:t>
      </w:r>
      <w:proofErr w:type="spellEnd"/>
      <w:r w:rsidR="00E0710B" w:rsidRPr="00E0710B">
        <w:rPr>
          <w:lang w:val="en-GB"/>
        </w:rPr>
        <w:t> 450/2017 of 27 November 2017).</w:t>
      </w:r>
    </w:p>
    <w:p w14:paraId="6269693F" w14:textId="4E1098C1" w:rsidR="00AB2F7F" w:rsidRDefault="00C64448" w:rsidP="00242A3B">
      <w:pPr>
        <w:pStyle w:val="Nadpisoddlu"/>
        <w:numPr>
          <w:ilvl w:val="0"/>
          <w:numId w:val="3"/>
        </w:numPr>
        <w:spacing w:before="300"/>
        <w:ind w:left="714" w:hanging="357"/>
        <w:rPr>
          <w:lang w:val="en-GB"/>
        </w:rPr>
      </w:pPr>
      <w:r>
        <w:rPr>
          <w:lang w:val="en-GB"/>
        </w:rPr>
        <w:t>Act no. 166/2024, Amending act no. 40/2009 (effective since 1 January 2025)</w:t>
      </w:r>
    </w:p>
    <w:p w14:paraId="25AB3D88" w14:textId="55EF0CD1" w:rsidR="00C64448" w:rsidRDefault="00E0710B" w:rsidP="00E0710B">
      <w:pPr>
        <w:pStyle w:val="Textodstavce"/>
        <w:rPr>
          <w:lang w:val="en-GB"/>
        </w:rPr>
      </w:pPr>
      <w:r>
        <w:rPr>
          <w:lang w:val="en-GB"/>
        </w:rPr>
        <w:t xml:space="preserve">The latest amendment </w:t>
      </w:r>
      <w:r w:rsidR="00676EAB">
        <w:rPr>
          <w:lang w:val="en-GB"/>
        </w:rPr>
        <w:t>to</w:t>
      </w:r>
      <w:r>
        <w:rPr>
          <w:lang w:val="en-GB"/>
        </w:rPr>
        <w:t xml:space="preserve"> the Criminal Code </w:t>
      </w:r>
      <w:r w:rsidR="005F4EDC">
        <w:rPr>
          <w:lang w:val="en-GB"/>
        </w:rPr>
        <w:t>bring</w:t>
      </w:r>
      <w:r>
        <w:rPr>
          <w:lang w:val="en-GB"/>
        </w:rPr>
        <w:t>s three important changes in the area affected by the Court</w:t>
      </w:r>
      <w:r w:rsidRPr="002C04DD">
        <w:rPr>
          <w:lang w:val="en-GB"/>
        </w:rPr>
        <w:t>’s</w:t>
      </w:r>
      <w:r>
        <w:rPr>
          <w:lang w:val="en-GB"/>
        </w:rPr>
        <w:t xml:space="preserve"> judgment</w:t>
      </w:r>
      <w:r w:rsidR="00D945BD">
        <w:rPr>
          <w:lang w:val="en-GB"/>
        </w:rPr>
        <w:t>s</w:t>
      </w:r>
      <w:r>
        <w:rPr>
          <w:lang w:val="en-GB"/>
        </w:rPr>
        <w:t>:</w:t>
      </w:r>
    </w:p>
    <w:p w14:paraId="27B2A421" w14:textId="6DC111A8" w:rsidR="00E0710B" w:rsidRDefault="00E0710B" w:rsidP="00E0710B">
      <w:pPr>
        <w:pStyle w:val="Textodstavce"/>
        <w:numPr>
          <w:ilvl w:val="0"/>
          <w:numId w:val="6"/>
        </w:numPr>
        <w:rPr>
          <w:lang w:val="en-GB"/>
        </w:rPr>
      </w:pPr>
      <w:r w:rsidRPr="00E0710B">
        <w:rPr>
          <w:i/>
          <w:iCs/>
          <w:lang w:val="en-GB"/>
        </w:rPr>
        <w:t>First</w:t>
      </w:r>
      <w:r>
        <w:rPr>
          <w:lang w:val="en-GB"/>
        </w:rPr>
        <w:t xml:space="preserve">, the new definition of </w:t>
      </w:r>
      <w:r w:rsidRPr="00E0710B">
        <w:rPr>
          <w:b/>
          <w:bCs/>
          <w:lang w:val="en-GB"/>
        </w:rPr>
        <w:t>rape</w:t>
      </w:r>
      <w:r>
        <w:rPr>
          <w:lang w:val="en-GB"/>
        </w:rPr>
        <w:t xml:space="preserve"> under </w:t>
      </w:r>
      <w:r w:rsidRPr="0041431E">
        <w:rPr>
          <w:lang w:val="en-GB"/>
        </w:rPr>
        <w:t>Section 185(1) of Act no. 40/2009</w:t>
      </w:r>
      <w:r>
        <w:rPr>
          <w:lang w:val="en-GB"/>
        </w:rPr>
        <w:t xml:space="preserve"> covers not only sexual intercourse obtained by force or exploitation of victim</w:t>
      </w:r>
      <w:r w:rsidRPr="002C04DD">
        <w:rPr>
          <w:lang w:val="en-GB"/>
        </w:rPr>
        <w:t>’s</w:t>
      </w:r>
      <w:r>
        <w:rPr>
          <w:lang w:val="en-GB"/>
        </w:rPr>
        <w:t xml:space="preserve"> defencelessness, but also sexual intercourse conducted “against the recognizable will” of the victim.</w:t>
      </w:r>
    </w:p>
    <w:p w14:paraId="4CDB124A" w14:textId="22CF494D" w:rsidR="00E0710B" w:rsidRDefault="00E0710B" w:rsidP="00E0710B">
      <w:pPr>
        <w:pStyle w:val="Textodstavce"/>
        <w:numPr>
          <w:ilvl w:val="0"/>
          <w:numId w:val="6"/>
        </w:numPr>
        <w:rPr>
          <w:lang w:val="en-GB"/>
        </w:rPr>
      </w:pPr>
      <w:r>
        <w:rPr>
          <w:i/>
          <w:iCs/>
          <w:lang w:val="en-GB"/>
        </w:rPr>
        <w:t>Second</w:t>
      </w:r>
      <w:r>
        <w:rPr>
          <w:lang w:val="en-GB"/>
        </w:rPr>
        <w:t xml:space="preserve">, the amendment widens the scope of the offence of </w:t>
      </w:r>
      <w:r w:rsidRPr="00E0710B">
        <w:rPr>
          <w:b/>
          <w:bCs/>
          <w:lang w:val="en-GB"/>
        </w:rPr>
        <w:t>sexual coercion</w:t>
      </w:r>
      <w:r>
        <w:rPr>
          <w:lang w:val="en-GB"/>
        </w:rPr>
        <w:t xml:space="preserve"> under </w:t>
      </w:r>
      <w:r w:rsidRPr="0041431E">
        <w:rPr>
          <w:lang w:val="en-GB"/>
        </w:rPr>
        <w:t>Section 18</w:t>
      </w:r>
      <w:r>
        <w:rPr>
          <w:lang w:val="en-GB"/>
        </w:rPr>
        <w:t>6</w:t>
      </w:r>
      <w:r w:rsidRPr="0041431E">
        <w:rPr>
          <w:lang w:val="en-GB"/>
        </w:rPr>
        <w:t>(</w:t>
      </w:r>
      <w:r>
        <w:rPr>
          <w:lang w:val="en-GB"/>
        </w:rPr>
        <w:t>2</w:t>
      </w:r>
      <w:r w:rsidRPr="0041431E">
        <w:rPr>
          <w:lang w:val="en-GB"/>
        </w:rPr>
        <w:t>) of Act no. 40/2009</w:t>
      </w:r>
      <w:r>
        <w:rPr>
          <w:lang w:val="en-GB"/>
        </w:rPr>
        <w:t xml:space="preserve">: according to </w:t>
      </w:r>
      <w:r w:rsidR="001144CE">
        <w:rPr>
          <w:lang w:val="en-GB"/>
        </w:rPr>
        <w:t xml:space="preserve">the </w:t>
      </w:r>
      <w:r>
        <w:rPr>
          <w:lang w:val="en-GB"/>
        </w:rPr>
        <w:t xml:space="preserve">new definition, this offence </w:t>
      </w:r>
      <w:r w:rsidR="00F1016B">
        <w:rPr>
          <w:lang w:val="en-GB"/>
        </w:rPr>
        <w:t>relates</w:t>
      </w:r>
      <w:r>
        <w:rPr>
          <w:lang w:val="en-GB"/>
        </w:rPr>
        <w:t xml:space="preserve"> not only </w:t>
      </w:r>
      <w:r w:rsidR="00F1016B">
        <w:rPr>
          <w:lang w:val="en-GB"/>
        </w:rPr>
        <w:t xml:space="preserve">to </w:t>
      </w:r>
      <w:r>
        <w:rPr>
          <w:lang w:val="en-GB"/>
        </w:rPr>
        <w:t xml:space="preserve">exploitation of </w:t>
      </w:r>
      <w:r w:rsidRPr="008671BA">
        <w:rPr>
          <w:lang w:val="en-GB"/>
        </w:rPr>
        <w:t xml:space="preserve">the victim’s dependence or </w:t>
      </w:r>
      <w:r>
        <w:rPr>
          <w:lang w:val="en-GB"/>
        </w:rPr>
        <w:t>of the perpetrator</w:t>
      </w:r>
      <w:r w:rsidRPr="008671BA">
        <w:rPr>
          <w:lang w:val="en-GB"/>
        </w:rPr>
        <w:t>’s</w:t>
      </w:r>
      <w:r w:rsidRPr="00E0710B">
        <w:rPr>
          <w:lang w:val="en-GB"/>
        </w:rPr>
        <w:t xml:space="preserve"> position and the trustworthiness or influence resulting therefrom</w:t>
      </w:r>
      <w:r w:rsidR="005F4EDC">
        <w:rPr>
          <w:lang w:val="en-GB"/>
        </w:rPr>
        <w:t xml:space="preserve">, but also </w:t>
      </w:r>
      <w:r w:rsidR="00F1016B">
        <w:rPr>
          <w:lang w:val="en-GB"/>
        </w:rPr>
        <w:t xml:space="preserve">to </w:t>
      </w:r>
      <w:r w:rsidR="005F4EDC">
        <w:rPr>
          <w:lang w:val="en-GB"/>
        </w:rPr>
        <w:t>exploitation of the victim</w:t>
      </w:r>
      <w:r w:rsidR="005F4EDC" w:rsidRPr="008671BA">
        <w:rPr>
          <w:lang w:val="en-GB"/>
        </w:rPr>
        <w:t>’s</w:t>
      </w:r>
      <w:r w:rsidR="005F4EDC">
        <w:rPr>
          <w:lang w:val="en-GB"/>
        </w:rPr>
        <w:t xml:space="preserve"> distress.</w:t>
      </w:r>
    </w:p>
    <w:p w14:paraId="6AB8C639" w14:textId="1CF44E6F" w:rsidR="005F4EDC" w:rsidRPr="00E0710B" w:rsidRDefault="005F4EDC" w:rsidP="00E0710B">
      <w:pPr>
        <w:pStyle w:val="Textodstavce"/>
        <w:numPr>
          <w:ilvl w:val="0"/>
          <w:numId w:val="6"/>
        </w:numPr>
        <w:rPr>
          <w:lang w:val="en-GB"/>
        </w:rPr>
      </w:pPr>
      <w:r w:rsidRPr="005F4EDC">
        <w:rPr>
          <w:lang w:val="en-GB"/>
        </w:rPr>
        <w:t>And</w:t>
      </w:r>
      <w:r>
        <w:rPr>
          <w:i/>
          <w:iCs/>
          <w:lang w:val="en-GB"/>
        </w:rPr>
        <w:t xml:space="preserve"> third</w:t>
      </w:r>
      <w:r>
        <w:rPr>
          <w:lang w:val="en-GB"/>
        </w:rPr>
        <w:t xml:space="preserve">, the amendment, in its newly introduced Section 119a, </w:t>
      </w:r>
      <w:r w:rsidR="001144CE">
        <w:rPr>
          <w:lang w:val="en-GB"/>
        </w:rPr>
        <w:t xml:space="preserve">provides the </w:t>
      </w:r>
      <w:r>
        <w:rPr>
          <w:lang w:val="en-GB"/>
        </w:rPr>
        <w:t>defin</w:t>
      </w:r>
      <w:r w:rsidR="001144CE">
        <w:rPr>
          <w:lang w:val="en-GB"/>
        </w:rPr>
        <w:t>ition of</w:t>
      </w:r>
      <w:r>
        <w:rPr>
          <w:lang w:val="en-GB"/>
        </w:rPr>
        <w:t xml:space="preserve"> the concept of </w:t>
      </w:r>
      <w:r w:rsidRPr="005F4EDC">
        <w:rPr>
          <w:b/>
          <w:bCs/>
          <w:lang w:val="en-GB"/>
        </w:rPr>
        <w:t>defencelessness</w:t>
      </w:r>
      <w:r>
        <w:rPr>
          <w:lang w:val="en-GB"/>
        </w:rPr>
        <w:t xml:space="preserve">, and includes here also the situations when the victim is “paralysed by </w:t>
      </w:r>
      <w:r w:rsidR="00676EAB">
        <w:rPr>
          <w:lang w:val="en-GB"/>
        </w:rPr>
        <w:t xml:space="preserve">strong </w:t>
      </w:r>
      <w:r>
        <w:rPr>
          <w:lang w:val="en-GB"/>
        </w:rPr>
        <w:t xml:space="preserve">stress”. </w:t>
      </w:r>
    </w:p>
    <w:p w14:paraId="67150782" w14:textId="4ECB8B5C" w:rsidR="002A58CD" w:rsidRPr="002A58CD" w:rsidRDefault="002A58CD" w:rsidP="00242A3B">
      <w:pPr>
        <w:pStyle w:val="Nadpisoddlu"/>
        <w:numPr>
          <w:ilvl w:val="0"/>
          <w:numId w:val="3"/>
        </w:numPr>
        <w:spacing w:before="300"/>
        <w:ind w:left="714" w:hanging="357"/>
        <w:rPr>
          <w:lang w:val="en-GB"/>
        </w:rPr>
      </w:pPr>
      <w:r>
        <w:rPr>
          <w:lang w:val="en-GB"/>
        </w:rPr>
        <w:t xml:space="preserve">Using the </w:t>
      </w:r>
      <w:r w:rsidRPr="002A58CD">
        <w:rPr>
          <w:lang w:val="en-GB"/>
        </w:rPr>
        <w:t>Court’s</w:t>
      </w:r>
      <w:r>
        <w:rPr>
          <w:lang w:val="en-GB"/>
        </w:rPr>
        <w:t xml:space="preserve"> judgment</w:t>
      </w:r>
      <w:r w:rsidR="00D945BD">
        <w:rPr>
          <w:lang w:val="en-GB"/>
        </w:rPr>
        <w:t>s</w:t>
      </w:r>
      <w:r>
        <w:rPr>
          <w:lang w:val="en-GB"/>
        </w:rPr>
        <w:t xml:space="preserve"> as a guideline for application of Czech law</w:t>
      </w:r>
    </w:p>
    <w:p w14:paraId="2CF3EED6" w14:textId="5CA4381A" w:rsidR="007B2C21" w:rsidRDefault="007B2C21" w:rsidP="007B2C21">
      <w:pPr>
        <w:pStyle w:val="Textodstavce"/>
        <w:rPr>
          <w:lang w:val="en-GB"/>
        </w:rPr>
      </w:pPr>
      <w:bookmarkStart w:id="3" w:name="_Hlk208507786"/>
      <w:r>
        <w:rPr>
          <w:lang w:val="en-GB"/>
        </w:rPr>
        <w:t xml:space="preserve">In the light of this development of </w:t>
      </w:r>
      <w:r w:rsidR="00676EAB">
        <w:rPr>
          <w:lang w:val="en-GB"/>
        </w:rPr>
        <w:t xml:space="preserve">domestic </w:t>
      </w:r>
      <w:r>
        <w:rPr>
          <w:lang w:val="en-GB"/>
        </w:rPr>
        <w:t xml:space="preserve">legislation and </w:t>
      </w:r>
      <w:r w:rsidR="00676EAB">
        <w:rPr>
          <w:lang w:val="en-GB"/>
        </w:rPr>
        <w:t>jurisprudence</w:t>
      </w:r>
      <w:r>
        <w:rPr>
          <w:lang w:val="en-GB"/>
        </w:rPr>
        <w:t xml:space="preserve">, the Government </w:t>
      </w:r>
      <w:r w:rsidR="00676EAB">
        <w:rPr>
          <w:lang w:val="en-GB"/>
        </w:rPr>
        <w:t>are of the opinion</w:t>
      </w:r>
      <w:r>
        <w:rPr>
          <w:lang w:val="en-GB"/>
        </w:rPr>
        <w:t xml:space="preserve"> that the execution of the Court</w:t>
      </w:r>
      <w:r w:rsidRPr="002C04DD">
        <w:rPr>
          <w:lang w:val="en-GB"/>
        </w:rPr>
        <w:t>’s</w:t>
      </w:r>
      <w:r>
        <w:rPr>
          <w:lang w:val="en-GB"/>
        </w:rPr>
        <w:t xml:space="preserve"> judgment</w:t>
      </w:r>
      <w:r w:rsidR="00D945BD">
        <w:rPr>
          <w:lang w:val="en-GB"/>
        </w:rPr>
        <w:t>s</w:t>
      </w:r>
      <w:r>
        <w:rPr>
          <w:lang w:val="en-GB"/>
        </w:rPr>
        <w:t xml:space="preserve"> does not require to change the current legal regulation. Rather, it call</w:t>
      </w:r>
      <w:r w:rsidR="00FE7B91">
        <w:rPr>
          <w:lang w:val="en-GB"/>
        </w:rPr>
        <w:t>s</w:t>
      </w:r>
      <w:r>
        <w:rPr>
          <w:lang w:val="en-GB"/>
        </w:rPr>
        <w:t xml:space="preserve"> for </w:t>
      </w:r>
      <w:r w:rsidRPr="00F1016B">
        <w:rPr>
          <w:b/>
          <w:bCs/>
          <w:lang w:val="en-GB"/>
        </w:rPr>
        <w:t>employment of the principles contained in the judgment</w:t>
      </w:r>
      <w:r w:rsidR="00D945BD">
        <w:rPr>
          <w:b/>
          <w:bCs/>
          <w:lang w:val="en-GB"/>
        </w:rPr>
        <w:t>s</w:t>
      </w:r>
      <w:r w:rsidRPr="00F1016B">
        <w:rPr>
          <w:b/>
          <w:bCs/>
          <w:lang w:val="en-GB"/>
        </w:rPr>
        <w:t xml:space="preserve"> in the application of the existing legislation</w:t>
      </w:r>
      <w:r>
        <w:rPr>
          <w:lang w:val="en-GB"/>
        </w:rPr>
        <w:t>.</w:t>
      </w:r>
    </w:p>
    <w:p w14:paraId="1468BD4A" w14:textId="327DF2C6" w:rsidR="00B14E86" w:rsidRDefault="007B2C21" w:rsidP="00B14E86">
      <w:pPr>
        <w:pStyle w:val="Textodstavce"/>
        <w:rPr>
          <w:lang w:val="en-GB"/>
        </w:rPr>
      </w:pPr>
      <w:r>
        <w:rPr>
          <w:lang w:val="en-GB"/>
        </w:rPr>
        <w:t>To this effect,</w:t>
      </w:r>
      <w:r w:rsidR="003A4747">
        <w:rPr>
          <w:lang w:val="en-GB"/>
        </w:rPr>
        <w:t xml:space="preserve"> the</w:t>
      </w:r>
      <w:r>
        <w:rPr>
          <w:lang w:val="en-GB"/>
        </w:rPr>
        <w:t xml:space="preserve"> </w:t>
      </w:r>
      <w:r w:rsidR="00E80987">
        <w:rPr>
          <w:lang w:val="en-GB"/>
        </w:rPr>
        <w:t xml:space="preserve">representatives of </w:t>
      </w:r>
      <w:r w:rsidR="00E80987" w:rsidRPr="002C04DD">
        <w:rPr>
          <w:lang w:val="en-GB"/>
        </w:rPr>
        <w:t>the Government Agent’s Office</w:t>
      </w:r>
      <w:r w:rsidR="00E80987">
        <w:rPr>
          <w:lang w:val="en-GB"/>
        </w:rPr>
        <w:t xml:space="preserve"> </w:t>
      </w:r>
      <w:r w:rsidR="00B60BAA">
        <w:rPr>
          <w:lang w:val="en-GB"/>
        </w:rPr>
        <w:t xml:space="preserve">have </w:t>
      </w:r>
      <w:r w:rsidR="002A58CD">
        <w:rPr>
          <w:lang w:val="en-GB"/>
        </w:rPr>
        <w:t xml:space="preserve">already </w:t>
      </w:r>
      <w:r w:rsidR="00D9401A">
        <w:rPr>
          <w:lang w:val="en-GB"/>
        </w:rPr>
        <w:t>discussed</w:t>
      </w:r>
      <w:r w:rsidR="00B60BAA">
        <w:rPr>
          <w:lang w:val="en-GB"/>
        </w:rPr>
        <w:t xml:space="preserve"> the Court</w:t>
      </w:r>
      <w:r w:rsidR="00B60BAA" w:rsidRPr="002C04DD">
        <w:rPr>
          <w:lang w:val="en-GB"/>
        </w:rPr>
        <w:t>’s</w:t>
      </w:r>
      <w:r w:rsidR="00B60BAA">
        <w:rPr>
          <w:lang w:val="en-GB"/>
        </w:rPr>
        <w:t xml:space="preserve"> judgment in the case </w:t>
      </w:r>
      <w:r w:rsidR="00D945BD">
        <w:rPr>
          <w:lang w:val="en-GB"/>
        </w:rPr>
        <w:t xml:space="preserve">of </w:t>
      </w:r>
      <w:r w:rsidR="00D945BD" w:rsidRPr="00B068C6">
        <w:rPr>
          <w:i/>
          <w:iCs/>
          <w:lang w:val="en-GB"/>
        </w:rPr>
        <w:t>Z v. the Czech Republic</w:t>
      </w:r>
      <w:r w:rsidR="00D945BD" w:rsidRPr="002D0DB7">
        <w:rPr>
          <w:lang w:val="en-GB"/>
        </w:rPr>
        <w:t xml:space="preserve"> </w:t>
      </w:r>
      <w:r w:rsidR="002A58CD">
        <w:rPr>
          <w:lang w:val="en-GB"/>
        </w:rPr>
        <w:t xml:space="preserve">within a lecture for Czech criminal judges in October 2024, and plan to further </w:t>
      </w:r>
      <w:r w:rsidR="002A58CD" w:rsidRPr="002A58CD">
        <w:rPr>
          <w:lang w:val="en-GB"/>
        </w:rPr>
        <w:t xml:space="preserve">address </w:t>
      </w:r>
      <w:r w:rsidR="00D945BD">
        <w:rPr>
          <w:lang w:val="en-GB"/>
        </w:rPr>
        <w:t>both judgments</w:t>
      </w:r>
      <w:r w:rsidR="00E80987" w:rsidRPr="002A58CD">
        <w:rPr>
          <w:lang w:val="en-GB"/>
        </w:rPr>
        <w:t xml:space="preserve"> in the framework of regular training</w:t>
      </w:r>
      <w:r w:rsidR="00B80AB8">
        <w:rPr>
          <w:lang w:val="en-GB"/>
        </w:rPr>
        <w:t>s</w:t>
      </w:r>
      <w:r w:rsidR="00E80987" w:rsidRPr="002A58CD">
        <w:rPr>
          <w:lang w:val="en-GB"/>
        </w:rPr>
        <w:t xml:space="preserve"> </w:t>
      </w:r>
      <w:r w:rsidR="002A58CD">
        <w:rPr>
          <w:lang w:val="en-GB"/>
        </w:rPr>
        <w:t xml:space="preserve">for judges </w:t>
      </w:r>
      <w:r w:rsidR="00E80987" w:rsidRPr="002A58CD">
        <w:rPr>
          <w:lang w:val="en-GB"/>
        </w:rPr>
        <w:t xml:space="preserve">provided </w:t>
      </w:r>
      <w:r w:rsidR="00B14E86">
        <w:rPr>
          <w:lang w:val="en-GB"/>
        </w:rPr>
        <w:t xml:space="preserve">mainly </w:t>
      </w:r>
      <w:r w:rsidR="002A58CD" w:rsidRPr="002A58CD">
        <w:rPr>
          <w:lang w:val="en-GB"/>
        </w:rPr>
        <w:t>under the auspices of Judicial Academy</w:t>
      </w:r>
      <w:r w:rsidR="00B14E86">
        <w:rPr>
          <w:lang w:val="en-GB"/>
        </w:rPr>
        <w:t>, i.e. within the seminar for the judges of the Supreme Court scheduled for September 2025, as well as the lecture for criminal judges planned for November 2025.</w:t>
      </w:r>
    </w:p>
    <w:p w14:paraId="3E900EE9" w14:textId="0341C3FB" w:rsidR="00B60BAA" w:rsidRPr="00B60BAA" w:rsidRDefault="002A58CD" w:rsidP="006628F3">
      <w:pPr>
        <w:pStyle w:val="Textodstavce"/>
      </w:pPr>
      <w:r w:rsidRPr="002A58CD">
        <w:rPr>
          <w:lang w:val="en-GB"/>
        </w:rPr>
        <w:t xml:space="preserve">Furthermore, </w:t>
      </w:r>
      <w:r w:rsidR="00D945BD">
        <w:rPr>
          <w:lang w:val="en-GB"/>
        </w:rPr>
        <w:t>in March 2025</w:t>
      </w:r>
      <w:r w:rsidR="003A4747">
        <w:rPr>
          <w:lang w:val="en-GB"/>
        </w:rPr>
        <w:t xml:space="preserve">, </w:t>
      </w:r>
      <w:r w:rsidR="00B60BAA" w:rsidRPr="002A58CD">
        <w:rPr>
          <w:lang w:val="en-GB"/>
        </w:rPr>
        <w:t>the Government Agent’s Office p</w:t>
      </w:r>
      <w:r w:rsidR="00823F3E">
        <w:rPr>
          <w:lang w:val="en-GB"/>
        </w:rPr>
        <w:t>ublish</w:t>
      </w:r>
      <w:r w:rsidR="00D945BD">
        <w:rPr>
          <w:lang w:val="en-GB"/>
        </w:rPr>
        <w:t>ed</w:t>
      </w:r>
      <w:r w:rsidR="00B60BAA" w:rsidRPr="002A58CD">
        <w:rPr>
          <w:lang w:val="en-GB"/>
        </w:rPr>
        <w:t xml:space="preserve"> a </w:t>
      </w:r>
      <w:hyperlink r:id="rId20" w:history="1">
        <w:r w:rsidR="00B60BAA" w:rsidRPr="00D945BD">
          <w:rPr>
            <w:rStyle w:val="Hypertextovodkaz"/>
            <w:lang w:val="en-GB"/>
          </w:rPr>
          <w:t>Key Theme</w:t>
        </w:r>
      </w:hyperlink>
      <w:r w:rsidR="00B60BAA" w:rsidRPr="002A58CD">
        <w:rPr>
          <w:lang w:val="en-GB"/>
        </w:rPr>
        <w:t xml:space="preserve"> on the topic of the sexual violence. It include</w:t>
      </w:r>
      <w:r w:rsidR="00D945BD">
        <w:rPr>
          <w:lang w:val="en-GB"/>
        </w:rPr>
        <w:t>s</w:t>
      </w:r>
      <w:r w:rsidR="00B60BAA" w:rsidRPr="002A58CD">
        <w:rPr>
          <w:lang w:val="en-GB"/>
        </w:rPr>
        <w:t xml:space="preserve"> an overview of general principles arising from the Court’s case-law concerning criminalisation, </w:t>
      </w:r>
      <w:r w:rsidR="0004701D">
        <w:rPr>
          <w:lang w:val="en-GB"/>
        </w:rPr>
        <w:t xml:space="preserve">investigation, </w:t>
      </w:r>
      <w:r w:rsidR="00B60BAA" w:rsidRPr="002A58CD">
        <w:rPr>
          <w:lang w:val="en-GB"/>
        </w:rPr>
        <w:t>prosecution</w:t>
      </w:r>
      <w:r w:rsidR="00B60BAA">
        <w:rPr>
          <w:lang w:val="en-GB"/>
        </w:rPr>
        <w:t xml:space="preserve"> and punishment of sexual offences, as well as of relevant domestic </w:t>
      </w:r>
      <w:r w:rsidR="0004701D">
        <w:rPr>
          <w:lang w:val="en-GB"/>
        </w:rPr>
        <w:t>jurisprudence</w:t>
      </w:r>
      <w:r w:rsidR="00B60BAA">
        <w:rPr>
          <w:lang w:val="en-GB"/>
        </w:rPr>
        <w:t xml:space="preserve">. This material </w:t>
      </w:r>
      <w:r w:rsidR="00D945BD">
        <w:rPr>
          <w:lang w:val="en-GB"/>
        </w:rPr>
        <w:t>is</w:t>
      </w:r>
      <w:r w:rsidR="00B60BAA">
        <w:rPr>
          <w:lang w:val="en-GB"/>
        </w:rPr>
        <w:t xml:space="preserve"> </w:t>
      </w:r>
      <w:r w:rsidR="00823F3E">
        <w:rPr>
          <w:lang w:val="en-GB"/>
        </w:rPr>
        <w:t>available</w:t>
      </w:r>
      <w:r w:rsidR="00B60BAA">
        <w:rPr>
          <w:lang w:val="en-GB"/>
        </w:rPr>
        <w:t xml:space="preserve"> online </w:t>
      </w:r>
      <w:r w:rsidR="0004701D">
        <w:rPr>
          <w:lang w:val="en-GB"/>
        </w:rPr>
        <w:t>and</w:t>
      </w:r>
      <w:r w:rsidR="00B60BAA">
        <w:rPr>
          <w:lang w:val="en-GB"/>
        </w:rPr>
        <w:t xml:space="preserve"> </w:t>
      </w:r>
      <w:r w:rsidR="00D945BD">
        <w:rPr>
          <w:lang w:val="en-GB"/>
        </w:rPr>
        <w:t xml:space="preserve">was </w:t>
      </w:r>
      <w:r w:rsidR="00B60BAA">
        <w:rPr>
          <w:lang w:val="en-GB"/>
        </w:rPr>
        <w:t>transmitted to all relevant domestic bodies so that they are aware</w:t>
      </w:r>
      <w:r w:rsidR="00B60BAA" w:rsidRPr="00B57F1A">
        <w:rPr>
          <w:lang w:val="en-GB"/>
        </w:rPr>
        <w:t xml:space="preserve"> </w:t>
      </w:r>
      <w:r w:rsidR="00B60BAA">
        <w:rPr>
          <w:lang w:val="en-GB"/>
        </w:rPr>
        <w:t xml:space="preserve">to what aspects they should pay </w:t>
      </w:r>
      <w:r w:rsidR="00B60BAA" w:rsidRPr="00B57F1A">
        <w:rPr>
          <w:lang w:val="en-GB"/>
        </w:rPr>
        <w:t>particular attention</w:t>
      </w:r>
      <w:r w:rsidR="00D945BD">
        <w:rPr>
          <w:lang w:val="en-GB"/>
        </w:rPr>
        <w:t>.</w:t>
      </w:r>
    </w:p>
    <w:bookmarkEnd w:id="3"/>
    <w:p w14:paraId="2BCB7DFB" w14:textId="77777777" w:rsidR="00AF3177" w:rsidRPr="00601505" w:rsidRDefault="00AF3177" w:rsidP="00242A3B">
      <w:pPr>
        <w:pStyle w:val="Nadpissti"/>
        <w:spacing w:before="360"/>
        <w:rPr>
          <w:lang w:val="en-GB"/>
        </w:rPr>
      </w:pPr>
      <w:r w:rsidRPr="00601505">
        <w:rPr>
          <w:lang w:val="en-GB"/>
        </w:rPr>
        <w:t xml:space="preserve">III. </w:t>
      </w:r>
      <w:r w:rsidR="00593E3E" w:rsidRPr="00601505">
        <w:rPr>
          <w:lang w:val="en-GB"/>
        </w:rPr>
        <w:t>Conclusion</w:t>
      </w:r>
    </w:p>
    <w:p w14:paraId="46B37C07" w14:textId="315B0388" w:rsidR="00CC7591" w:rsidRDefault="00CC7591" w:rsidP="00601505">
      <w:pPr>
        <w:pStyle w:val="Textodstavce"/>
        <w:rPr>
          <w:lang w:val="en-GB"/>
        </w:rPr>
      </w:pPr>
      <w:proofErr w:type="gramStart"/>
      <w:r>
        <w:rPr>
          <w:lang w:val="en-GB"/>
        </w:rPr>
        <w:t>On the basis of</w:t>
      </w:r>
      <w:proofErr w:type="gramEnd"/>
      <w:r>
        <w:rPr>
          <w:lang w:val="en-GB"/>
        </w:rPr>
        <w:t xml:space="preserve"> the above, t</w:t>
      </w:r>
      <w:r w:rsidR="00593E3E" w:rsidRPr="00601505">
        <w:rPr>
          <w:lang w:val="en-GB"/>
        </w:rPr>
        <w:t xml:space="preserve">he Government of the Czech Republic </w:t>
      </w:r>
      <w:r>
        <w:rPr>
          <w:lang w:val="en-GB"/>
        </w:rPr>
        <w:t xml:space="preserve">are of the opinion that the </w:t>
      </w:r>
      <w:bookmarkStart w:id="4" w:name="_Hlk208508320"/>
      <w:r>
        <w:rPr>
          <w:lang w:val="en-GB"/>
        </w:rPr>
        <w:t>individual and general measures taken are sufficient</w:t>
      </w:r>
      <w:r w:rsidR="00E15047">
        <w:rPr>
          <w:lang w:val="en-GB"/>
        </w:rPr>
        <w:t xml:space="preserve"> and propose to </w:t>
      </w:r>
      <w:r w:rsidR="00E15047" w:rsidRPr="00601505">
        <w:rPr>
          <w:lang w:val="en-GB"/>
        </w:rPr>
        <w:t>the Committee of Ministers</w:t>
      </w:r>
      <w:r w:rsidR="00E15047">
        <w:rPr>
          <w:lang w:val="en-GB"/>
        </w:rPr>
        <w:t xml:space="preserve"> to close its supervision of the execution of the </w:t>
      </w:r>
      <w:r w:rsidR="00D945BD">
        <w:rPr>
          <w:lang w:val="en-GB"/>
        </w:rPr>
        <w:t xml:space="preserve">above </w:t>
      </w:r>
      <w:r w:rsidR="00E15047">
        <w:rPr>
          <w:lang w:val="en-GB"/>
        </w:rPr>
        <w:t>judgment</w:t>
      </w:r>
      <w:r w:rsidR="00D945BD">
        <w:rPr>
          <w:lang w:val="en-GB"/>
        </w:rPr>
        <w:t>s</w:t>
      </w:r>
      <w:r w:rsidR="00E15047">
        <w:rPr>
          <w:lang w:val="en-GB"/>
        </w:rPr>
        <w:t>.</w:t>
      </w:r>
      <w:bookmarkEnd w:id="4"/>
    </w:p>
    <w:sectPr w:rsidR="00CC7591">
      <w:footerReference w:type="even" r:id="rId21"/>
      <w:footerReference w:type="default" r:id="rId22"/>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17FB7" w14:textId="77777777" w:rsidR="002357C9" w:rsidRDefault="002357C9">
      <w:r>
        <w:separator/>
      </w:r>
    </w:p>
  </w:endnote>
  <w:endnote w:type="continuationSeparator" w:id="0">
    <w:p w14:paraId="1BF28F52" w14:textId="77777777" w:rsidR="002357C9" w:rsidRDefault="0023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13B3C" w14:textId="77777777" w:rsidR="002357C9" w:rsidRDefault="002357C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F3A53F9" w14:textId="77777777" w:rsidR="002357C9" w:rsidRDefault="002357C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EFA66" w14:textId="7B805342" w:rsidR="002357C9" w:rsidRDefault="002357C9">
    <w:pPr>
      <w:pStyle w:val="Zpat"/>
      <w:jc w:val="center"/>
    </w:pPr>
    <w:r>
      <w:t xml:space="preserve">— </w:t>
    </w:r>
    <w:r>
      <w:rPr>
        <w:rStyle w:val="slostrnky"/>
      </w:rPr>
      <w:fldChar w:fldCharType="begin"/>
    </w:r>
    <w:r>
      <w:rPr>
        <w:rStyle w:val="slostrnky"/>
      </w:rPr>
      <w:instrText xml:space="preserve"> PAGE </w:instrText>
    </w:r>
    <w:r>
      <w:rPr>
        <w:rStyle w:val="slostrnky"/>
      </w:rPr>
      <w:fldChar w:fldCharType="separate"/>
    </w:r>
    <w:r w:rsidR="00F0760F">
      <w:rPr>
        <w:rStyle w:val="slostrnky"/>
        <w:noProof/>
      </w:rPr>
      <w:t>6</w:t>
    </w:r>
    <w:r>
      <w:rPr>
        <w:rStyle w:val="slostrnky"/>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AB09F" w14:textId="77777777" w:rsidR="002357C9" w:rsidRDefault="002357C9">
      <w:r>
        <w:separator/>
      </w:r>
    </w:p>
  </w:footnote>
  <w:footnote w:type="continuationSeparator" w:id="0">
    <w:p w14:paraId="46D882CB" w14:textId="77777777" w:rsidR="002357C9" w:rsidRDefault="002357C9">
      <w:r>
        <w:continuationSeparator/>
      </w:r>
    </w:p>
  </w:footnote>
  <w:footnote w:id="1">
    <w:p w14:paraId="0D5A0B89" w14:textId="1FC5CC1A" w:rsidR="002357C9" w:rsidRPr="00E1497F" w:rsidRDefault="002357C9" w:rsidP="00E1497F">
      <w:pPr>
        <w:pStyle w:val="Textpoznpodarou"/>
        <w:spacing w:after="120"/>
        <w:jc w:val="both"/>
        <w:rPr>
          <w:lang w:val="en-GB"/>
        </w:rPr>
      </w:pPr>
      <w:r w:rsidRPr="00E1497F">
        <w:rPr>
          <w:rStyle w:val="Znakapoznpodarou"/>
          <w:lang w:val="en-GB"/>
        </w:rPr>
        <w:footnoteRef/>
      </w:r>
      <w:r w:rsidRPr="00E1497F">
        <w:rPr>
          <w:lang w:val="en-GB"/>
        </w:rPr>
        <w:t xml:space="preserve"> Details about the payment</w:t>
      </w:r>
      <w:r w:rsidR="000F5680">
        <w:rPr>
          <w:lang w:val="en-GB"/>
        </w:rPr>
        <w:t>s</w:t>
      </w:r>
      <w:r w:rsidRPr="00E1497F">
        <w:rPr>
          <w:lang w:val="en-GB"/>
        </w:rPr>
        <w:t xml:space="preserve"> could be requested from the Office of the Czech Government Agent.</w:t>
      </w:r>
    </w:p>
  </w:footnote>
  <w:footnote w:id="2">
    <w:p w14:paraId="39F02E84" w14:textId="19E29D73" w:rsidR="002357C9" w:rsidRPr="00E1497F" w:rsidRDefault="002357C9" w:rsidP="00E1497F">
      <w:pPr>
        <w:pStyle w:val="Default"/>
        <w:spacing w:after="120"/>
        <w:jc w:val="both"/>
        <w:rPr>
          <w:sz w:val="20"/>
          <w:szCs w:val="20"/>
          <w:lang w:val="en-GB"/>
        </w:rPr>
      </w:pPr>
      <w:r w:rsidRPr="00E1497F">
        <w:rPr>
          <w:rStyle w:val="Znakapoznpodarou"/>
          <w:sz w:val="20"/>
          <w:szCs w:val="20"/>
          <w:lang w:val="en-GB"/>
        </w:rPr>
        <w:footnoteRef/>
      </w:r>
      <w:r w:rsidRPr="00E1497F">
        <w:rPr>
          <w:sz w:val="20"/>
          <w:szCs w:val="20"/>
          <w:lang w:val="en-GB"/>
        </w:rPr>
        <w:t xml:space="preserve"> Section 119 of the Constitutional Court Act as amended by Act no. 404/2012 provides, </w:t>
      </w:r>
      <w:r w:rsidRPr="00E1497F">
        <w:rPr>
          <w:i/>
          <w:iCs/>
          <w:sz w:val="20"/>
          <w:szCs w:val="20"/>
          <w:lang w:val="en-GB"/>
        </w:rPr>
        <w:t>inter alia</w:t>
      </w:r>
      <w:r w:rsidRPr="00E1497F">
        <w:rPr>
          <w:sz w:val="20"/>
          <w:szCs w:val="20"/>
          <w:lang w:val="en-GB"/>
        </w:rPr>
        <w:t xml:space="preserve">, that if the Constitutional Court has previously ruled in a case in which an international court finds a violation of human rights or fundamental freedoms guaranteed by an international treaty, it is possible to file a request for reopening of the proceedings in which the ruling was given. Section 119b provides, </w:t>
      </w:r>
      <w:r w:rsidRPr="00E1497F">
        <w:rPr>
          <w:i/>
          <w:iCs/>
          <w:sz w:val="20"/>
          <w:szCs w:val="20"/>
          <w:lang w:val="en-GB"/>
        </w:rPr>
        <w:t>inter alia</w:t>
      </w:r>
      <w:r w:rsidRPr="00E1497F">
        <w:rPr>
          <w:sz w:val="20"/>
          <w:szCs w:val="20"/>
          <w:lang w:val="en-GB"/>
        </w:rPr>
        <w:t>, that if Constitutional Court’s previous judgment (</w:t>
      </w:r>
      <w:proofErr w:type="spellStart"/>
      <w:r w:rsidRPr="00E1497F">
        <w:rPr>
          <w:i/>
          <w:iCs/>
          <w:sz w:val="20"/>
          <w:szCs w:val="20"/>
          <w:lang w:val="en-GB"/>
        </w:rPr>
        <w:t>nález</w:t>
      </w:r>
      <w:proofErr w:type="spellEnd"/>
      <w:r w:rsidRPr="00E1497F">
        <w:rPr>
          <w:sz w:val="20"/>
          <w:szCs w:val="20"/>
          <w:lang w:val="en-GB"/>
        </w:rPr>
        <w:t>) was inconsistent with the decision adopted by the international court, it must set it aside. If the Constitutional Court sets aside its judgment, it deals anew with the original constitutional appeal and the new judgment should be based on the legal opinion of the international court.</w:t>
      </w:r>
    </w:p>
  </w:footnote>
  <w:footnote w:id="3">
    <w:p w14:paraId="71D238CB" w14:textId="5BAF5BB2" w:rsidR="002357C9" w:rsidRPr="00E1497F" w:rsidRDefault="002357C9" w:rsidP="00E1497F">
      <w:pPr>
        <w:pStyle w:val="Textpoznpodarou"/>
        <w:spacing w:after="120"/>
        <w:jc w:val="both"/>
      </w:pPr>
      <w:r w:rsidRPr="00E1497F">
        <w:rPr>
          <w:rStyle w:val="Znakapoznpodarou"/>
        </w:rPr>
        <w:footnoteRef/>
      </w:r>
      <w:r w:rsidRPr="00E1497F">
        <w:t xml:space="preserve"> </w:t>
      </w:r>
      <w:r w:rsidRPr="00E1497F">
        <w:rPr>
          <w:lang w:val="en-GB"/>
        </w:rPr>
        <w:t>In June 2024 the Ministry of Justice officially launched a new website (</w:t>
      </w:r>
      <w:hyperlink r:id="rId1" w:history="1">
        <w:r w:rsidRPr="00E1497F">
          <w:rPr>
            <w:rStyle w:val="Hypertextovodkaz"/>
          </w:rPr>
          <w:t>https://mezisoudy.cz/</w:t>
        </w:r>
      </w:hyperlink>
      <w:r w:rsidRPr="00E1497F">
        <w:rPr>
          <w:lang w:val="en-GB"/>
        </w:rPr>
        <w:t xml:space="preserve">) dedicated to international protection of human rights. The website is run by the Government Agent’s Office. It includes a database, which provides access to the case-law of the Court. The database contains all the judgments of the Court in the language in which the Court issued them. Above that, </w:t>
      </w:r>
      <w:r w:rsidR="00B14E86">
        <w:rPr>
          <w:lang w:val="en-GB"/>
        </w:rPr>
        <w:t>t</w:t>
      </w:r>
      <w:r w:rsidRPr="00E1497F">
        <w:rPr>
          <w:lang w:val="en-GB"/>
        </w:rPr>
        <w:t>he database contains translations of all judgments of the Court against the Czech Republic, hundreds of translations of the most important judgments of the Court delivered against other States and more than 1 700 legal summaries compiled in the Czech language of other relevant and significant judgments and decisions of the Court. The database also connects the case-law of the Court with the case-law of the Constitutional Court of the Czech Republic and the jurisprudence of the European Committee on Social Rights and United Nations Treaty Bodies.</w:t>
      </w:r>
    </w:p>
  </w:footnote>
  <w:footnote w:id="4">
    <w:p w14:paraId="07C909A3" w14:textId="77777777" w:rsidR="002357C9" w:rsidRPr="00E1497F" w:rsidRDefault="002357C9" w:rsidP="00E1497F">
      <w:pPr>
        <w:pStyle w:val="Textpoznpodarou"/>
        <w:spacing w:after="120"/>
        <w:jc w:val="both"/>
        <w:rPr>
          <w:lang w:val="en-GB"/>
        </w:rPr>
      </w:pPr>
      <w:r w:rsidRPr="00E1497F">
        <w:rPr>
          <w:rStyle w:val="Znakapoznpodarou"/>
          <w:lang w:val="en-GB"/>
        </w:rPr>
        <w:footnoteRef/>
      </w:r>
      <w:r w:rsidRPr="00E1497F">
        <w:rPr>
          <w:lang w:val="en-GB"/>
        </w:rPr>
        <w:t xml:space="preserve"> Established as a follow-up to the obligation to reinforce the implementation of the Convention at the national level agreed by and between the Contracting Parties to the Convention at the High-level Conference on the “Implementation of the European Convention on Human Rights, our shared responsibility” of 27 March 2015, it is the Government Agent’s advisory body which serves as a forum for analysing and formulating recommendations to the authorities in terms of suitable measures to be adopted for the purpose of implementing the Court’s judgments. It is composed of representatives of all ministries, both Chambers of Parliament, highest courts, Office of the Supreme Public Prosecutor, Office of the Public Defender of Rights, academic staff and members of various NGOs operating in the field of fundamental human rights.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822D9"/>
    <w:multiLevelType w:val="hybridMultilevel"/>
    <w:tmpl w:val="496C29B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248A72EE"/>
    <w:multiLevelType w:val="hybridMultilevel"/>
    <w:tmpl w:val="AF780C9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38733FED"/>
    <w:multiLevelType w:val="hybridMultilevel"/>
    <w:tmpl w:val="468A7712"/>
    <w:lvl w:ilvl="0" w:tplc="781E91A0">
      <w:start w:val="1"/>
      <w:numFmt w:val="decimal"/>
      <w:pStyle w:val="Stanovisko-text"/>
      <w:lvlText w:val="%1."/>
      <w:lvlJc w:val="left"/>
      <w:pPr>
        <w:tabs>
          <w:tab w:val="num" w:pos="644"/>
        </w:tabs>
        <w:ind w:left="0" w:firstLine="284"/>
      </w:pPr>
      <w:rPr>
        <w:rFonts w:hint="default"/>
        <w:i w:val="0"/>
      </w:rPr>
    </w:lvl>
    <w:lvl w:ilvl="1" w:tplc="16F2CA20">
      <w:start w:val="1"/>
      <w:numFmt w:val="upperLetter"/>
      <w:lvlText w:val="%2."/>
      <w:lvlJc w:val="left"/>
      <w:pPr>
        <w:tabs>
          <w:tab w:val="num" w:pos="1440"/>
        </w:tabs>
        <w:ind w:left="1440" w:hanging="360"/>
      </w:pPr>
      <w:rPr>
        <w:rFonts w:hint="default"/>
      </w:rPr>
    </w:lvl>
    <w:lvl w:ilvl="2" w:tplc="F1000DDC">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7F65B2D"/>
    <w:multiLevelType w:val="hybridMultilevel"/>
    <w:tmpl w:val="4B0EC6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5FDA0409"/>
    <w:multiLevelType w:val="hybridMultilevel"/>
    <w:tmpl w:val="E63E836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6D16338F"/>
    <w:multiLevelType w:val="hybridMultilevel"/>
    <w:tmpl w:val="A31867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7768816">
    <w:abstractNumId w:val="1"/>
  </w:num>
  <w:num w:numId="2" w16cid:durableId="1588416221">
    <w:abstractNumId w:val="3"/>
  </w:num>
  <w:num w:numId="3" w16cid:durableId="1510605318">
    <w:abstractNumId w:val="5"/>
  </w:num>
  <w:num w:numId="4" w16cid:durableId="1116944326">
    <w:abstractNumId w:val="4"/>
  </w:num>
  <w:num w:numId="5" w16cid:durableId="101731177">
    <w:abstractNumId w:val="2"/>
  </w:num>
  <w:num w:numId="6" w16cid:durableId="60269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E3"/>
    <w:rsid w:val="0000296A"/>
    <w:rsid w:val="00033AB8"/>
    <w:rsid w:val="00034F60"/>
    <w:rsid w:val="00035B28"/>
    <w:rsid w:val="00040011"/>
    <w:rsid w:val="0004395D"/>
    <w:rsid w:val="00045D70"/>
    <w:rsid w:val="00045F7A"/>
    <w:rsid w:val="0004701D"/>
    <w:rsid w:val="0007253E"/>
    <w:rsid w:val="000805F7"/>
    <w:rsid w:val="00083A29"/>
    <w:rsid w:val="00084BF3"/>
    <w:rsid w:val="000910F0"/>
    <w:rsid w:val="000928E3"/>
    <w:rsid w:val="000B04F0"/>
    <w:rsid w:val="000B3112"/>
    <w:rsid w:val="000C5F0A"/>
    <w:rsid w:val="000D5CDD"/>
    <w:rsid w:val="000F1648"/>
    <w:rsid w:val="000F50A5"/>
    <w:rsid w:val="000F5680"/>
    <w:rsid w:val="001144CE"/>
    <w:rsid w:val="001430D5"/>
    <w:rsid w:val="00155D59"/>
    <w:rsid w:val="00157FA4"/>
    <w:rsid w:val="00163FCE"/>
    <w:rsid w:val="00186617"/>
    <w:rsid w:val="00190D85"/>
    <w:rsid w:val="00193392"/>
    <w:rsid w:val="00195B9F"/>
    <w:rsid w:val="00197CFB"/>
    <w:rsid w:val="001A1361"/>
    <w:rsid w:val="001B4DF5"/>
    <w:rsid w:val="001C1FE2"/>
    <w:rsid w:val="001C508D"/>
    <w:rsid w:val="001C7743"/>
    <w:rsid w:val="001D0D29"/>
    <w:rsid w:val="001D0EC9"/>
    <w:rsid w:val="001E3B78"/>
    <w:rsid w:val="001F2A97"/>
    <w:rsid w:val="001F60B3"/>
    <w:rsid w:val="0020559D"/>
    <w:rsid w:val="002110D3"/>
    <w:rsid w:val="00215066"/>
    <w:rsid w:val="00221F58"/>
    <w:rsid w:val="002357A6"/>
    <w:rsid w:val="002357C9"/>
    <w:rsid w:val="00242A3B"/>
    <w:rsid w:val="00247902"/>
    <w:rsid w:val="002603EC"/>
    <w:rsid w:val="00260BFF"/>
    <w:rsid w:val="0026288C"/>
    <w:rsid w:val="00287B11"/>
    <w:rsid w:val="00297CAE"/>
    <w:rsid w:val="002A58CD"/>
    <w:rsid w:val="002B2115"/>
    <w:rsid w:val="002B6F8A"/>
    <w:rsid w:val="002C04DD"/>
    <w:rsid w:val="002C1F01"/>
    <w:rsid w:val="002C74F9"/>
    <w:rsid w:val="002D0658"/>
    <w:rsid w:val="002D0DB7"/>
    <w:rsid w:val="002E7876"/>
    <w:rsid w:val="0030061A"/>
    <w:rsid w:val="00300776"/>
    <w:rsid w:val="00314118"/>
    <w:rsid w:val="003435D7"/>
    <w:rsid w:val="003534BB"/>
    <w:rsid w:val="0035744C"/>
    <w:rsid w:val="00372925"/>
    <w:rsid w:val="003741C0"/>
    <w:rsid w:val="003871CD"/>
    <w:rsid w:val="00390030"/>
    <w:rsid w:val="00391F45"/>
    <w:rsid w:val="003949AF"/>
    <w:rsid w:val="003A4747"/>
    <w:rsid w:val="003B5EAF"/>
    <w:rsid w:val="0041431E"/>
    <w:rsid w:val="00414602"/>
    <w:rsid w:val="00415FB3"/>
    <w:rsid w:val="00425D66"/>
    <w:rsid w:val="00432962"/>
    <w:rsid w:val="004341DF"/>
    <w:rsid w:val="00444968"/>
    <w:rsid w:val="00446244"/>
    <w:rsid w:val="004554F1"/>
    <w:rsid w:val="004578AF"/>
    <w:rsid w:val="004600EC"/>
    <w:rsid w:val="00463B41"/>
    <w:rsid w:val="00466B55"/>
    <w:rsid w:val="00495F5C"/>
    <w:rsid w:val="004A1AA8"/>
    <w:rsid w:val="004B792B"/>
    <w:rsid w:val="004C37DC"/>
    <w:rsid w:val="004C604A"/>
    <w:rsid w:val="004E709C"/>
    <w:rsid w:val="004F52D1"/>
    <w:rsid w:val="004F5B2B"/>
    <w:rsid w:val="00501EFF"/>
    <w:rsid w:val="00510838"/>
    <w:rsid w:val="00513080"/>
    <w:rsid w:val="00524D8D"/>
    <w:rsid w:val="005318E8"/>
    <w:rsid w:val="00554054"/>
    <w:rsid w:val="00554EAD"/>
    <w:rsid w:val="005554ED"/>
    <w:rsid w:val="0055696B"/>
    <w:rsid w:val="00560F12"/>
    <w:rsid w:val="00571000"/>
    <w:rsid w:val="005768EA"/>
    <w:rsid w:val="00577509"/>
    <w:rsid w:val="00593E3E"/>
    <w:rsid w:val="005974D7"/>
    <w:rsid w:val="005A5D82"/>
    <w:rsid w:val="005B4CA1"/>
    <w:rsid w:val="005D5FBF"/>
    <w:rsid w:val="005E2BD4"/>
    <w:rsid w:val="005F0FB6"/>
    <w:rsid w:val="005F4EDC"/>
    <w:rsid w:val="00601505"/>
    <w:rsid w:val="006036F8"/>
    <w:rsid w:val="0061023B"/>
    <w:rsid w:val="0062057A"/>
    <w:rsid w:val="00625985"/>
    <w:rsid w:val="00634A4E"/>
    <w:rsid w:val="00637052"/>
    <w:rsid w:val="006374E7"/>
    <w:rsid w:val="006413AA"/>
    <w:rsid w:val="006432AD"/>
    <w:rsid w:val="00655F6A"/>
    <w:rsid w:val="006628F3"/>
    <w:rsid w:val="006654DA"/>
    <w:rsid w:val="00665FB0"/>
    <w:rsid w:val="00674CE5"/>
    <w:rsid w:val="00676EAB"/>
    <w:rsid w:val="006A1DD1"/>
    <w:rsid w:val="006A2BA3"/>
    <w:rsid w:val="006B5683"/>
    <w:rsid w:val="006B5A6F"/>
    <w:rsid w:val="006C45F0"/>
    <w:rsid w:val="006D6A07"/>
    <w:rsid w:val="006E0DE6"/>
    <w:rsid w:val="006F1E64"/>
    <w:rsid w:val="006F512E"/>
    <w:rsid w:val="0070589C"/>
    <w:rsid w:val="007241D5"/>
    <w:rsid w:val="007301AC"/>
    <w:rsid w:val="00735E7A"/>
    <w:rsid w:val="0074706E"/>
    <w:rsid w:val="00780E5A"/>
    <w:rsid w:val="007866EF"/>
    <w:rsid w:val="007946A3"/>
    <w:rsid w:val="007A5FB6"/>
    <w:rsid w:val="007B2C21"/>
    <w:rsid w:val="007B3BBB"/>
    <w:rsid w:val="007B7221"/>
    <w:rsid w:val="007C7262"/>
    <w:rsid w:val="007D61F4"/>
    <w:rsid w:val="007D749C"/>
    <w:rsid w:val="007D7ABB"/>
    <w:rsid w:val="007E79E1"/>
    <w:rsid w:val="007F1AB7"/>
    <w:rsid w:val="00800F9C"/>
    <w:rsid w:val="0080464E"/>
    <w:rsid w:val="00811C94"/>
    <w:rsid w:val="00823F3E"/>
    <w:rsid w:val="008529D7"/>
    <w:rsid w:val="008566F0"/>
    <w:rsid w:val="008620B2"/>
    <w:rsid w:val="008671BA"/>
    <w:rsid w:val="008727D0"/>
    <w:rsid w:val="00883446"/>
    <w:rsid w:val="00885A90"/>
    <w:rsid w:val="00894CCD"/>
    <w:rsid w:val="008A5B99"/>
    <w:rsid w:val="008A5E5E"/>
    <w:rsid w:val="008A7B99"/>
    <w:rsid w:val="008F6B38"/>
    <w:rsid w:val="00902F00"/>
    <w:rsid w:val="00921EEC"/>
    <w:rsid w:val="0092593D"/>
    <w:rsid w:val="0093788D"/>
    <w:rsid w:val="00963D0E"/>
    <w:rsid w:val="00967986"/>
    <w:rsid w:val="009841E3"/>
    <w:rsid w:val="00991798"/>
    <w:rsid w:val="00994C75"/>
    <w:rsid w:val="0099601E"/>
    <w:rsid w:val="009A006B"/>
    <w:rsid w:val="009A22A0"/>
    <w:rsid w:val="009B44A0"/>
    <w:rsid w:val="009B565C"/>
    <w:rsid w:val="009C20C7"/>
    <w:rsid w:val="009C3CA9"/>
    <w:rsid w:val="009C6622"/>
    <w:rsid w:val="009D1711"/>
    <w:rsid w:val="009E07FE"/>
    <w:rsid w:val="00A05109"/>
    <w:rsid w:val="00A10695"/>
    <w:rsid w:val="00A15A22"/>
    <w:rsid w:val="00A25988"/>
    <w:rsid w:val="00A30046"/>
    <w:rsid w:val="00A347F9"/>
    <w:rsid w:val="00A362D9"/>
    <w:rsid w:val="00A378FC"/>
    <w:rsid w:val="00A57910"/>
    <w:rsid w:val="00A57CA5"/>
    <w:rsid w:val="00A74702"/>
    <w:rsid w:val="00AB06F6"/>
    <w:rsid w:val="00AB1570"/>
    <w:rsid w:val="00AB2F7F"/>
    <w:rsid w:val="00AB317E"/>
    <w:rsid w:val="00AC3A5E"/>
    <w:rsid w:val="00AC6FF4"/>
    <w:rsid w:val="00AE7A58"/>
    <w:rsid w:val="00AF2579"/>
    <w:rsid w:val="00AF3177"/>
    <w:rsid w:val="00AF49BE"/>
    <w:rsid w:val="00AF70E9"/>
    <w:rsid w:val="00B02189"/>
    <w:rsid w:val="00B068C6"/>
    <w:rsid w:val="00B10A5C"/>
    <w:rsid w:val="00B113E3"/>
    <w:rsid w:val="00B14E86"/>
    <w:rsid w:val="00B15810"/>
    <w:rsid w:val="00B178F5"/>
    <w:rsid w:val="00B316B0"/>
    <w:rsid w:val="00B44811"/>
    <w:rsid w:val="00B52258"/>
    <w:rsid w:val="00B57F1A"/>
    <w:rsid w:val="00B60BAA"/>
    <w:rsid w:val="00B613BF"/>
    <w:rsid w:val="00B613EC"/>
    <w:rsid w:val="00B62594"/>
    <w:rsid w:val="00B80AB8"/>
    <w:rsid w:val="00BA200A"/>
    <w:rsid w:val="00BB26F4"/>
    <w:rsid w:val="00BD6185"/>
    <w:rsid w:val="00BE20E0"/>
    <w:rsid w:val="00BE34B2"/>
    <w:rsid w:val="00BE6094"/>
    <w:rsid w:val="00BF0180"/>
    <w:rsid w:val="00BF31BA"/>
    <w:rsid w:val="00C001AF"/>
    <w:rsid w:val="00C0063E"/>
    <w:rsid w:val="00C0779A"/>
    <w:rsid w:val="00C145DE"/>
    <w:rsid w:val="00C24AB0"/>
    <w:rsid w:val="00C256E7"/>
    <w:rsid w:val="00C44853"/>
    <w:rsid w:val="00C50BBA"/>
    <w:rsid w:val="00C51F93"/>
    <w:rsid w:val="00C638F6"/>
    <w:rsid w:val="00C64448"/>
    <w:rsid w:val="00C73CFE"/>
    <w:rsid w:val="00CB4538"/>
    <w:rsid w:val="00CC7591"/>
    <w:rsid w:val="00CE292B"/>
    <w:rsid w:val="00D151AD"/>
    <w:rsid w:val="00D1593B"/>
    <w:rsid w:val="00D2504B"/>
    <w:rsid w:val="00D270FA"/>
    <w:rsid w:val="00D37E0E"/>
    <w:rsid w:val="00D43B8F"/>
    <w:rsid w:val="00D65489"/>
    <w:rsid w:val="00D71FEB"/>
    <w:rsid w:val="00D77E4F"/>
    <w:rsid w:val="00D9401A"/>
    <w:rsid w:val="00D945BD"/>
    <w:rsid w:val="00D96C82"/>
    <w:rsid w:val="00DA034F"/>
    <w:rsid w:val="00DA4D5A"/>
    <w:rsid w:val="00DD26ED"/>
    <w:rsid w:val="00DE19E2"/>
    <w:rsid w:val="00DF1156"/>
    <w:rsid w:val="00E02F59"/>
    <w:rsid w:val="00E03D56"/>
    <w:rsid w:val="00E0449F"/>
    <w:rsid w:val="00E0710B"/>
    <w:rsid w:val="00E1497F"/>
    <w:rsid w:val="00E15047"/>
    <w:rsid w:val="00E16820"/>
    <w:rsid w:val="00E30530"/>
    <w:rsid w:val="00E33E4D"/>
    <w:rsid w:val="00E358F0"/>
    <w:rsid w:val="00E36292"/>
    <w:rsid w:val="00E467ED"/>
    <w:rsid w:val="00E50319"/>
    <w:rsid w:val="00E5162D"/>
    <w:rsid w:val="00E61812"/>
    <w:rsid w:val="00E63506"/>
    <w:rsid w:val="00E80987"/>
    <w:rsid w:val="00E80A5D"/>
    <w:rsid w:val="00E81945"/>
    <w:rsid w:val="00E97A38"/>
    <w:rsid w:val="00EA10D8"/>
    <w:rsid w:val="00EA624D"/>
    <w:rsid w:val="00EB1840"/>
    <w:rsid w:val="00EB3BD0"/>
    <w:rsid w:val="00EB7DA0"/>
    <w:rsid w:val="00ED15F7"/>
    <w:rsid w:val="00ED20A2"/>
    <w:rsid w:val="00EE465F"/>
    <w:rsid w:val="00EE5312"/>
    <w:rsid w:val="00EE740F"/>
    <w:rsid w:val="00F005F8"/>
    <w:rsid w:val="00F0255C"/>
    <w:rsid w:val="00F0760F"/>
    <w:rsid w:val="00F1016B"/>
    <w:rsid w:val="00F21F21"/>
    <w:rsid w:val="00F26BB2"/>
    <w:rsid w:val="00F26CB5"/>
    <w:rsid w:val="00F37BBC"/>
    <w:rsid w:val="00F45416"/>
    <w:rsid w:val="00F6676C"/>
    <w:rsid w:val="00F80F7B"/>
    <w:rsid w:val="00FA116F"/>
    <w:rsid w:val="00FA478A"/>
    <w:rsid w:val="00FA5CFC"/>
    <w:rsid w:val="00FB61B2"/>
    <w:rsid w:val="00FB740D"/>
    <w:rsid w:val="00FC71D9"/>
    <w:rsid w:val="00FC7384"/>
    <w:rsid w:val="00FD052E"/>
    <w:rsid w:val="00FD6FE3"/>
    <w:rsid w:val="00FE6256"/>
    <w:rsid w:val="00FE7B91"/>
    <w:rsid w:val="00FF7226"/>
    <w:rsid w:val="00FF7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FEAC9"/>
  <w15:chartTrackingRefBased/>
  <w15:docId w15:val="{B2879A5A-570C-4DA8-AC3D-5E54BB3F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jc w:val="both"/>
      <w:outlineLvl w:val="1"/>
    </w:pPr>
    <w:rPr>
      <w:sz w:val="24"/>
      <w:u w:val="single"/>
    </w:rPr>
  </w:style>
  <w:style w:type="paragraph" w:styleId="Nadpis3">
    <w:name w:val="heading 3"/>
    <w:basedOn w:val="Normln"/>
    <w:next w:val="Normln"/>
    <w:qFormat/>
    <w:pPr>
      <w:keepNext/>
      <w:jc w:val="both"/>
      <w:outlineLvl w:val="2"/>
    </w:pPr>
    <w:rPr>
      <w:b/>
      <w:bCs/>
      <w:i/>
      <w:iCs/>
      <w:sz w:val="24"/>
    </w:rPr>
  </w:style>
  <w:style w:type="paragraph" w:styleId="Nadpis4">
    <w:name w:val="heading 4"/>
    <w:basedOn w:val="Normln"/>
    <w:next w:val="Normln"/>
    <w:qFormat/>
    <w:pPr>
      <w:keepNext/>
      <w:outlineLvl w:val="3"/>
    </w:pPr>
    <w:rPr>
      <w:sz w:val="24"/>
      <w:u w:val="single"/>
    </w:rPr>
  </w:style>
  <w:style w:type="paragraph" w:styleId="Nadpis5">
    <w:name w:val="heading 5"/>
    <w:basedOn w:val="Normln"/>
    <w:next w:val="Normln"/>
    <w:qFormat/>
    <w:pPr>
      <w:keepNext/>
      <w:jc w:val="center"/>
      <w:outlineLvl w:val="4"/>
    </w:pPr>
    <w:rPr>
      <w:sz w:val="24"/>
    </w:rPr>
  </w:style>
  <w:style w:type="paragraph" w:styleId="Nadpis6">
    <w:name w:val="heading 6"/>
    <w:basedOn w:val="Normln"/>
    <w:next w:val="Normln"/>
    <w:qFormat/>
    <w:pPr>
      <w:keepNext/>
      <w:jc w:val="both"/>
      <w:outlineLvl w:val="5"/>
    </w:pPr>
    <w:rPr>
      <w:b/>
      <w:bCs/>
      <w:sz w:val="24"/>
      <w:u w:val="single"/>
    </w:rPr>
  </w:style>
  <w:style w:type="paragraph" w:styleId="Nadpis7">
    <w:name w:val="heading 7"/>
    <w:basedOn w:val="Normln"/>
    <w:next w:val="Normln"/>
    <w:qFormat/>
    <w:pPr>
      <w:keepNext/>
      <w:outlineLvl w:val="6"/>
    </w:pPr>
    <w:rPr>
      <w:b/>
      <w:b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pPr>
      <w:ind w:left="566" w:hanging="283"/>
    </w:pPr>
  </w:style>
  <w:style w:type="paragraph" w:styleId="Zpat">
    <w:name w:val="footer"/>
    <w:basedOn w:val="Normln"/>
    <w:semiHidden/>
    <w:pPr>
      <w:tabs>
        <w:tab w:val="center" w:pos="4536"/>
        <w:tab w:val="right" w:pos="9072"/>
      </w:tabs>
    </w:pPr>
    <w:rPr>
      <w:sz w:val="24"/>
    </w:r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customStyle="1" w:styleId="Zkladntext21">
    <w:name w:val="Základní text 21"/>
    <w:basedOn w:val="Normln"/>
    <w:pPr>
      <w:ind w:firstLine="708"/>
      <w:jc w:val="both"/>
    </w:pPr>
    <w:rPr>
      <w:sz w:val="24"/>
    </w:rPr>
  </w:style>
  <w:style w:type="paragraph" w:customStyle="1" w:styleId="Zkladntext22">
    <w:name w:val="Základní text 22"/>
    <w:basedOn w:val="Normln"/>
    <w:pPr>
      <w:ind w:left="397"/>
      <w:jc w:val="both"/>
    </w:pPr>
    <w:rPr>
      <w:sz w:val="24"/>
      <w:lang w:val="en-GB"/>
    </w:rPr>
  </w:style>
  <w:style w:type="paragraph" w:styleId="Zkladntext">
    <w:name w:val="Body Text"/>
    <w:basedOn w:val="Normln"/>
    <w:semiHidden/>
    <w:rPr>
      <w:sz w:val="24"/>
    </w:rPr>
  </w:style>
  <w:style w:type="paragraph" w:customStyle="1" w:styleId="Zkladntext23">
    <w:name w:val="Základní text 23"/>
    <w:basedOn w:val="Normln"/>
    <w:pPr>
      <w:jc w:val="both"/>
    </w:pPr>
    <w:rPr>
      <w:sz w:val="24"/>
    </w:rPr>
  </w:style>
  <w:style w:type="paragraph" w:customStyle="1" w:styleId="Zkladntext31">
    <w:name w:val="Základní text 31"/>
    <w:basedOn w:val="Normln"/>
    <w:pPr>
      <w:jc w:val="both"/>
    </w:pPr>
    <w:rPr>
      <w:i/>
      <w:sz w:val="24"/>
    </w:rPr>
  </w:style>
  <w:style w:type="paragraph" w:customStyle="1" w:styleId="Zkladntext24">
    <w:name w:val="Základní text 24"/>
    <w:basedOn w:val="Normln"/>
    <w:pPr>
      <w:ind w:left="142" w:firstLine="567"/>
      <w:jc w:val="both"/>
    </w:pPr>
    <w:rPr>
      <w:sz w:val="24"/>
    </w:rPr>
  </w:style>
  <w:style w:type="paragraph" w:customStyle="1" w:styleId="Zkladntextodsazen31">
    <w:name w:val="Základní text odsazený 31"/>
    <w:basedOn w:val="Normln"/>
    <w:pPr>
      <w:ind w:firstLine="708"/>
      <w:jc w:val="both"/>
    </w:pPr>
    <w:rPr>
      <w:sz w:val="24"/>
    </w:rPr>
  </w:style>
  <w:style w:type="paragraph" w:customStyle="1" w:styleId="Zkladntext25">
    <w:name w:val="Základní text 25"/>
    <w:basedOn w:val="Normln"/>
    <w:pPr>
      <w:tabs>
        <w:tab w:val="left" w:pos="426"/>
      </w:tabs>
      <w:ind w:left="284" w:hanging="284"/>
      <w:jc w:val="both"/>
    </w:pPr>
    <w:rPr>
      <w:sz w:val="24"/>
    </w:rPr>
  </w:style>
  <w:style w:type="paragraph" w:customStyle="1" w:styleId="Zkladntext26">
    <w:name w:val="Základní text 26"/>
    <w:basedOn w:val="Normln"/>
    <w:pPr>
      <w:jc w:val="both"/>
    </w:pPr>
    <w:rPr>
      <w:sz w:val="24"/>
      <w:u w:val="single"/>
    </w:rPr>
  </w:style>
  <w:style w:type="character" w:styleId="Siln">
    <w:name w:val="Strong"/>
    <w:qFormat/>
    <w:rPr>
      <w:b/>
      <w:bCs/>
    </w:rPr>
  </w:style>
  <w:style w:type="paragraph" w:customStyle="1" w:styleId="Nadpishlavn">
    <w:name w:val="Nadpis hlavní"/>
    <w:basedOn w:val="Normln"/>
    <w:rsid w:val="000F1648"/>
    <w:pPr>
      <w:pBdr>
        <w:top w:val="single" w:sz="12" w:space="4" w:color="auto" w:shadow="1"/>
        <w:left w:val="single" w:sz="12" w:space="4" w:color="auto" w:shadow="1"/>
        <w:bottom w:val="single" w:sz="12" w:space="4" w:color="auto" w:shadow="1"/>
        <w:right w:val="single" w:sz="12" w:space="4" w:color="auto" w:shadow="1"/>
      </w:pBdr>
      <w:jc w:val="center"/>
    </w:pPr>
    <w:rPr>
      <w:b/>
      <w:sz w:val="25"/>
    </w:rPr>
  </w:style>
  <w:style w:type="paragraph" w:customStyle="1" w:styleId="Textodstavce">
    <w:name w:val="Text odstavce"/>
    <w:basedOn w:val="Normln"/>
    <w:link w:val="TextodstavceChar"/>
    <w:pPr>
      <w:spacing w:before="120"/>
      <w:ind w:firstLine="709"/>
      <w:jc w:val="both"/>
    </w:pPr>
    <w:rPr>
      <w:sz w:val="24"/>
    </w:rPr>
  </w:style>
  <w:style w:type="paragraph" w:customStyle="1" w:styleId="Nadpissti">
    <w:name w:val="Nadpis části"/>
    <w:basedOn w:val="Textodstavce"/>
    <w:pPr>
      <w:keepNext/>
      <w:keepLines/>
      <w:spacing w:before="640"/>
      <w:ind w:firstLine="0"/>
      <w:jc w:val="center"/>
    </w:pPr>
    <w:rPr>
      <w:b/>
      <w:caps/>
    </w:rPr>
  </w:style>
  <w:style w:type="paragraph" w:customStyle="1" w:styleId="Textpsmena">
    <w:name w:val="Text písmena"/>
    <w:basedOn w:val="Textodstavce"/>
    <w:pPr>
      <w:tabs>
        <w:tab w:val="left" w:pos="284"/>
        <w:tab w:val="left" w:pos="1068"/>
      </w:tabs>
      <w:ind w:left="284" w:hanging="284"/>
    </w:pPr>
  </w:style>
  <w:style w:type="paragraph" w:customStyle="1" w:styleId="Nadpispodsti">
    <w:name w:val="Nadpis podčásti"/>
    <w:basedOn w:val="Nadpissti"/>
    <w:rPr>
      <w:b w:val="0"/>
      <w:bCs/>
      <w:smallCaps/>
      <w:u w:val="single"/>
    </w:rPr>
  </w:style>
  <w:style w:type="paragraph" w:customStyle="1" w:styleId="Rubrika">
    <w:name w:val="Rubrika"/>
    <w:basedOn w:val="Normln"/>
    <w:pPr>
      <w:keepNext/>
      <w:spacing w:before="120"/>
      <w:ind w:firstLine="709"/>
      <w:jc w:val="both"/>
    </w:pPr>
    <w:rPr>
      <w:b/>
      <w:bCs/>
      <w:i/>
      <w:sz w:val="24"/>
      <w:u w:val="dash"/>
    </w:rPr>
  </w:style>
  <w:style w:type="paragraph" w:customStyle="1" w:styleId="Nadpisoddlu">
    <w:name w:val="Nadpis oddílu"/>
    <w:basedOn w:val="Textodstavce"/>
    <w:link w:val="NadpisoddluChar"/>
    <w:pPr>
      <w:keepNext/>
      <w:spacing w:before="400"/>
      <w:ind w:firstLine="0"/>
      <w:jc w:val="center"/>
    </w:pPr>
    <w:rPr>
      <w:i/>
      <w:smallCaps/>
    </w:rPr>
  </w:style>
  <w:style w:type="paragraph" w:customStyle="1" w:styleId="Nadpispododdlu">
    <w:name w:val="Nadpis pododdílu"/>
    <w:basedOn w:val="Nadpisoddlu"/>
    <w:pPr>
      <w:spacing w:before="320"/>
    </w:pPr>
    <w:rPr>
      <w:smallCaps w:val="0"/>
    </w:rPr>
  </w:style>
  <w:style w:type="paragraph" w:customStyle="1" w:styleId="Nadpisvtextu">
    <w:name w:val="Nadpis v textu"/>
    <w:basedOn w:val="Nadpispododdlu"/>
    <w:rPr>
      <w:i w:val="0"/>
      <w:u w:val="dotDotDash"/>
    </w:rPr>
  </w:style>
  <w:style w:type="character" w:customStyle="1" w:styleId="Siln1">
    <w:name w:val="Silné1"/>
    <w:rPr>
      <w:b/>
    </w:rPr>
  </w:style>
  <w:style w:type="character" w:customStyle="1" w:styleId="normal--char">
    <w:name w:val="normal--char"/>
    <w:rsid w:val="00AF3177"/>
  </w:style>
  <w:style w:type="paragraph" w:customStyle="1" w:styleId="Hvzdiky">
    <w:name w:val="Hvězdičky"/>
    <w:basedOn w:val="Normln"/>
    <w:pPr>
      <w:spacing w:before="320" w:after="160"/>
      <w:jc w:val="center"/>
    </w:pPr>
  </w:style>
  <w:style w:type="character" w:customStyle="1" w:styleId="TextodstavceChar">
    <w:name w:val="Text odstavce Char"/>
    <w:link w:val="Textodstavce"/>
    <w:rsid w:val="00625985"/>
    <w:rPr>
      <w:sz w:val="24"/>
    </w:rPr>
  </w:style>
  <w:style w:type="paragraph" w:styleId="Textpoznpodarou">
    <w:name w:val="footnote text"/>
    <w:basedOn w:val="Normln"/>
    <w:link w:val="TextpoznpodarouChar"/>
    <w:semiHidden/>
    <w:rsid w:val="00625985"/>
  </w:style>
  <w:style w:type="character" w:customStyle="1" w:styleId="TextpoznpodarouChar">
    <w:name w:val="Text pozn. pod čarou Char"/>
    <w:basedOn w:val="Standardnpsmoodstavce"/>
    <w:link w:val="Textpoznpodarou"/>
    <w:semiHidden/>
    <w:rsid w:val="00625985"/>
  </w:style>
  <w:style w:type="character" w:styleId="Znakapoznpodarou">
    <w:name w:val="footnote reference"/>
    <w:semiHidden/>
    <w:rsid w:val="00625985"/>
    <w:rPr>
      <w:vertAlign w:val="superscript"/>
    </w:rPr>
  </w:style>
  <w:style w:type="character" w:styleId="Odkaznakoment">
    <w:name w:val="annotation reference"/>
    <w:uiPriority w:val="99"/>
    <w:semiHidden/>
    <w:unhideWhenUsed/>
    <w:rsid w:val="00BE34B2"/>
    <w:rPr>
      <w:sz w:val="16"/>
      <w:szCs w:val="16"/>
    </w:rPr>
  </w:style>
  <w:style w:type="paragraph" w:styleId="Textkomente">
    <w:name w:val="annotation text"/>
    <w:basedOn w:val="Normln"/>
    <w:link w:val="TextkomenteChar"/>
    <w:uiPriority w:val="99"/>
    <w:unhideWhenUsed/>
    <w:rsid w:val="00BE34B2"/>
  </w:style>
  <w:style w:type="character" w:customStyle="1" w:styleId="TextkomenteChar">
    <w:name w:val="Text komentáře Char"/>
    <w:basedOn w:val="Standardnpsmoodstavce"/>
    <w:link w:val="Textkomente"/>
    <w:uiPriority w:val="99"/>
    <w:rsid w:val="00BE34B2"/>
  </w:style>
  <w:style w:type="paragraph" w:styleId="Pedmtkomente">
    <w:name w:val="annotation subject"/>
    <w:basedOn w:val="Textkomente"/>
    <w:next w:val="Textkomente"/>
    <w:link w:val="PedmtkomenteChar"/>
    <w:uiPriority w:val="99"/>
    <w:semiHidden/>
    <w:unhideWhenUsed/>
    <w:rsid w:val="00BE34B2"/>
    <w:rPr>
      <w:b/>
      <w:bCs/>
    </w:rPr>
  </w:style>
  <w:style w:type="character" w:customStyle="1" w:styleId="PedmtkomenteChar">
    <w:name w:val="Předmět komentáře Char"/>
    <w:link w:val="Pedmtkomente"/>
    <w:uiPriority w:val="99"/>
    <w:semiHidden/>
    <w:rsid w:val="00BE34B2"/>
    <w:rPr>
      <w:b/>
      <w:bCs/>
    </w:rPr>
  </w:style>
  <w:style w:type="paragraph" w:styleId="Textbubliny">
    <w:name w:val="Balloon Text"/>
    <w:basedOn w:val="Normln"/>
    <w:link w:val="TextbublinyChar"/>
    <w:uiPriority w:val="99"/>
    <w:semiHidden/>
    <w:unhideWhenUsed/>
    <w:rsid w:val="00BE34B2"/>
    <w:rPr>
      <w:rFonts w:ascii="Tahoma" w:hAnsi="Tahoma" w:cs="Tahoma"/>
      <w:sz w:val="16"/>
      <w:szCs w:val="16"/>
    </w:rPr>
  </w:style>
  <w:style w:type="character" w:customStyle="1" w:styleId="TextbublinyChar">
    <w:name w:val="Text bubliny Char"/>
    <w:link w:val="Textbubliny"/>
    <w:uiPriority w:val="99"/>
    <w:semiHidden/>
    <w:rsid w:val="00BE34B2"/>
    <w:rPr>
      <w:rFonts w:ascii="Tahoma" w:hAnsi="Tahoma" w:cs="Tahoma"/>
      <w:sz w:val="16"/>
      <w:szCs w:val="16"/>
    </w:rPr>
  </w:style>
  <w:style w:type="paragraph" w:customStyle="1" w:styleId="Default">
    <w:name w:val="Default"/>
    <w:rsid w:val="00FF793D"/>
    <w:pPr>
      <w:autoSpaceDE w:val="0"/>
      <w:autoSpaceDN w:val="0"/>
      <w:adjustRightInd w:val="0"/>
    </w:pPr>
    <w:rPr>
      <w:color w:val="000000"/>
      <w:sz w:val="24"/>
      <w:szCs w:val="24"/>
    </w:rPr>
  </w:style>
  <w:style w:type="character" w:styleId="Hypertextovodkaz">
    <w:name w:val="Hyperlink"/>
    <w:basedOn w:val="Standardnpsmoodstavce"/>
    <w:uiPriority w:val="99"/>
    <w:unhideWhenUsed/>
    <w:rsid w:val="00A57CA5"/>
    <w:rPr>
      <w:color w:val="0563C1" w:themeColor="hyperlink"/>
      <w:u w:val="single"/>
    </w:rPr>
  </w:style>
  <w:style w:type="character" w:customStyle="1" w:styleId="Nevyeenzmnka1">
    <w:name w:val="Nevyřešená zmínka1"/>
    <w:basedOn w:val="Standardnpsmoodstavce"/>
    <w:uiPriority w:val="99"/>
    <w:semiHidden/>
    <w:unhideWhenUsed/>
    <w:rsid w:val="00A57CA5"/>
    <w:rPr>
      <w:color w:val="605E5C"/>
      <w:shd w:val="clear" w:color="auto" w:fill="E1DFDD"/>
    </w:rPr>
  </w:style>
  <w:style w:type="character" w:styleId="Sledovanodkaz">
    <w:name w:val="FollowedHyperlink"/>
    <w:basedOn w:val="Standardnpsmoodstavce"/>
    <w:uiPriority w:val="99"/>
    <w:semiHidden/>
    <w:unhideWhenUsed/>
    <w:rsid w:val="003435D7"/>
    <w:rPr>
      <w:color w:val="954F72" w:themeColor="followedHyperlink"/>
      <w:u w:val="single"/>
    </w:rPr>
  </w:style>
  <w:style w:type="paragraph" w:styleId="Revize">
    <w:name w:val="Revision"/>
    <w:hidden/>
    <w:uiPriority w:val="99"/>
    <w:semiHidden/>
    <w:rsid w:val="00AB06F6"/>
  </w:style>
  <w:style w:type="character" w:customStyle="1" w:styleId="Nevyeenzmnka2">
    <w:name w:val="Nevyřešená zmínka2"/>
    <w:basedOn w:val="Standardnpsmoodstavce"/>
    <w:uiPriority w:val="99"/>
    <w:semiHidden/>
    <w:unhideWhenUsed/>
    <w:rsid w:val="008A5E5E"/>
    <w:rPr>
      <w:color w:val="605E5C"/>
      <w:shd w:val="clear" w:color="auto" w:fill="E1DFDD"/>
    </w:rPr>
  </w:style>
  <w:style w:type="character" w:styleId="Zdraznn">
    <w:name w:val="Emphasis"/>
    <w:basedOn w:val="Standardnpsmoodstavce"/>
    <w:uiPriority w:val="20"/>
    <w:qFormat/>
    <w:rsid w:val="00BE6094"/>
    <w:rPr>
      <w:i/>
      <w:iCs/>
    </w:rPr>
  </w:style>
  <w:style w:type="character" w:customStyle="1" w:styleId="column">
    <w:name w:val="column"/>
    <w:basedOn w:val="Standardnpsmoodstavce"/>
    <w:rsid w:val="005554ED"/>
  </w:style>
  <w:style w:type="paragraph" w:customStyle="1" w:styleId="JuPara">
    <w:name w:val="Ju_Para"/>
    <w:aliases w:val="ECHR_Para,_Para"/>
    <w:basedOn w:val="Normln"/>
    <w:link w:val="JuParaChar"/>
    <w:uiPriority w:val="4"/>
    <w:qFormat/>
    <w:rsid w:val="0030061A"/>
    <w:pPr>
      <w:ind w:firstLine="284"/>
      <w:jc w:val="both"/>
    </w:pPr>
    <w:rPr>
      <w:rFonts w:asciiTheme="minorHAnsi" w:eastAsiaTheme="minorHAnsi" w:hAnsiTheme="minorHAnsi" w:cstheme="minorBidi"/>
      <w:sz w:val="24"/>
      <w:szCs w:val="24"/>
      <w:lang w:val="en-GB" w:eastAsia="en-US"/>
    </w:rPr>
  </w:style>
  <w:style w:type="character" w:customStyle="1" w:styleId="JuParaChar">
    <w:name w:val="Ju_Para Char"/>
    <w:aliases w:val="_Para Char"/>
    <w:link w:val="JuPara"/>
    <w:uiPriority w:val="4"/>
    <w:rsid w:val="0030061A"/>
    <w:rPr>
      <w:rFonts w:asciiTheme="minorHAnsi" w:eastAsiaTheme="minorHAnsi" w:hAnsiTheme="minorHAnsi" w:cstheme="minorBidi"/>
      <w:sz w:val="24"/>
      <w:szCs w:val="24"/>
      <w:lang w:val="en-GB" w:eastAsia="en-US"/>
    </w:rPr>
  </w:style>
  <w:style w:type="paragraph" w:styleId="Odstavecseseznamem">
    <w:name w:val="List Paragraph"/>
    <w:basedOn w:val="Normln"/>
    <w:uiPriority w:val="34"/>
    <w:qFormat/>
    <w:rsid w:val="00186617"/>
    <w:pPr>
      <w:ind w:left="720"/>
    </w:pPr>
    <w:rPr>
      <w:rFonts w:ascii="Calibri" w:eastAsiaTheme="minorHAnsi" w:hAnsi="Calibri" w:cs="Calibri"/>
      <w:sz w:val="22"/>
      <w:szCs w:val="22"/>
      <w:lang w:eastAsia="en-US"/>
      <w14:ligatures w14:val="standardContextual"/>
    </w:rPr>
  </w:style>
  <w:style w:type="paragraph" w:customStyle="1" w:styleId="pf0">
    <w:name w:val="pf0"/>
    <w:basedOn w:val="Normln"/>
    <w:rsid w:val="00F26CB5"/>
    <w:pPr>
      <w:spacing w:before="100" w:beforeAutospacing="1" w:after="100" w:afterAutospacing="1"/>
    </w:pPr>
    <w:rPr>
      <w:sz w:val="24"/>
      <w:szCs w:val="24"/>
    </w:rPr>
  </w:style>
  <w:style w:type="character" w:customStyle="1" w:styleId="cf01">
    <w:name w:val="cf01"/>
    <w:basedOn w:val="Standardnpsmoodstavce"/>
    <w:rsid w:val="00F26CB5"/>
    <w:rPr>
      <w:rFonts w:ascii="Segoe UI" w:hAnsi="Segoe UI" w:cs="Segoe UI" w:hint="default"/>
      <w:sz w:val="18"/>
      <w:szCs w:val="18"/>
    </w:rPr>
  </w:style>
  <w:style w:type="character" w:styleId="Nevyeenzmnka">
    <w:name w:val="Unresolved Mention"/>
    <w:basedOn w:val="Standardnpsmoodstavce"/>
    <w:uiPriority w:val="99"/>
    <w:semiHidden/>
    <w:unhideWhenUsed/>
    <w:rsid w:val="00E15047"/>
    <w:rPr>
      <w:color w:val="605E5C"/>
      <w:shd w:val="clear" w:color="auto" w:fill="E1DFDD"/>
    </w:rPr>
  </w:style>
  <w:style w:type="character" w:customStyle="1" w:styleId="NadpisoddluChar">
    <w:name w:val="Nadpis oddílu Char"/>
    <w:link w:val="Nadpisoddlu"/>
    <w:rsid w:val="00AB2F7F"/>
    <w:rPr>
      <w:i/>
      <w:smallCaps/>
      <w:sz w:val="24"/>
    </w:rPr>
  </w:style>
  <w:style w:type="paragraph" w:customStyle="1" w:styleId="Stanovisko-text">
    <w:name w:val="Stanovisko-text"/>
    <w:basedOn w:val="Normln"/>
    <w:link w:val="Stanovisko-textChar"/>
    <w:rsid w:val="0041431E"/>
    <w:pPr>
      <w:numPr>
        <w:numId w:val="5"/>
      </w:numPr>
      <w:tabs>
        <w:tab w:val="clear" w:pos="644"/>
        <w:tab w:val="left" w:pos="993"/>
      </w:tabs>
      <w:spacing w:after="100"/>
      <w:ind w:firstLine="425"/>
      <w:jc w:val="both"/>
    </w:pPr>
    <w:rPr>
      <w:sz w:val="24"/>
      <w:szCs w:val="24"/>
      <w:lang w:val="en-GB"/>
    </w:rPr>
  </w:style>
  <w:style w:type="character" w:customStyle="1" w:styleId="Stanovisko-textChar">
    <w:name w:val="Stanovisko-text Char"/>
    <w:link w:val="Stanovisko-text"/>
    <w:rsid w:val="0041431E"/>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0909">
      <w:bodyDiv w:val="1"/>
      <w:marLeft w:val="0"/>
      <w:marRight w:val="0"/>
      <w:marTop w:val="0"/>
      <w:marBottom w:val="0"/>
      <w:divBdr>
        <w:top w:val="none" w:sz="0" w:space="0" w:color="auto"/>
        <w:left w:val="none" w:sz="0" w:space="0" w:color="auto"/>
        <w:bottom w:val="none" w:sz="0" w:space="0" w:color="auto"/>
        <w:right w:val="none" w:sz="0" w:space="0" w:color="auto"/>
      </w:divBdr>
    </w:div>
    <w:div w:id="672952130">
      <w:bodyDiv w:val="1"/>
      <w:marLeft w:val="0"/>
      <w:marRight w:val="0"/>
      <w:marTop w:val="0"/>
      <w:marBottom w:val="0"/>
      <w:divBdr>
        <w:top w:val="none" w:sz="0" w:space="0" w:color="auto"/>
        <w:left w:val="none" w:sz="0" w:space="0" w:color="auto"/>
        <w:bottom w:val="none" w:sz="0" w:space="0" w:color="auto"/>
        <w:right w:val="none" w:sz="0" w:space="0" w:color="auto"/>
      </w:divBdr>
    </w:div>
    <w:div w:id="749230750">
      <w:bodyDiv w:val="1"/>
      <w:marLeft w:val="0"/>
      <w:marRight w:val="0"/>
      <w:marTop w:val="0"/>
      <w:marBottom w:val="0"/>
      <w:divBdr>
        <w:top w:val="none" w:sz="0" w:space="0" w:color="auto"/>
        <w:left w:val="none" w:sz="0" w:space="0" w:color="auto"/>
        <w:bottom w:val="none" w:sz="0" w:space="0" w:color="auto"/>
        <w:right w:val="none" w:sz="0" w:space="0" w:color="auto"/>
      </w:divBdr>
    </w:div>
    <w:div w:id="749548973">
      <w:bodyDiv w:val="1"/>
      <w:marLeft w:val="0"/>
      <w:marRight w:val="0"/>
      <w:marTop w:val="0"/>
      <w:marBottom w:val="0"/>
      <w:divBdr>
        <w:top w:val="none" w:sz="0" w:space="0" w:color="auto"/>
        <w:left w:val="none" w:sz="0" w:space="0" w:color="auto"/>
        <w:bottom w:val="none" w:sz="0" w:space="0" w:color="auto"/>
        <w:right w:val="none" w:sz="0" w:space="0" w:color="auto"/>
      </w:divBdr>
    </w:div>
    <w:div w:id="750153352">
      <w:bodyDiv w:val="1"/>
      <w:marLeft w:val="0"/>
      <w:marRight w:val="0"/>
      <w:marTop w:val="0"/>
      <w:marBottom w:val="0"/>
      <w:divBdr>
        <w:top w:val="none" w:sz="0" w:space="0" w:color="auto"/>
        <w:left w:val="none" w:sz="0" w:space="0" w:color="auto"/>
        <w:bottom w:val="none" w:sz="0" w:space="0" w:color="auto"/>
        <w:right w:val="none" w:sz="0" w:space="0" w:color="auto"/>
      </w:divBdr>
    </w:div>
    <w:div w:id="839389358">
      <w:bodyDiv w:val="1"/>
      <w:marLeft w:val="0"/>
      <w:marRight w:val="0"/>
      <w:marTop w:val="0"/>
      <w:marBottom w:val="0"/>
      <w:divBdr>
        <w:top w:val="none" w:sz="0" w:space="0" w:color="auto"/>
        <w:left w:val="none" w:sz="0" w:space="0" w:color="auto"/>
        <w:bottom w:val="none" w:sz="0" w:space="0" w:color="auto"/>
        <w:right w:val="none" w:sz="0" w:space="0" w:color="auto"/>
      </w:divBdr>
    </w:div>
    <w:div w:id="1029183310">
      <w:bodyDiv w:val="1"/>
      <w:marLeft w:val="0"/>
      <w:marRight w:val="0"/>
      <w:marTop w:val="0"/>
      <w:marBottom w:val="0"/>
      <w:divBdr>
        <w:top w:val="none" w:sz="0" w:space="0" w:color="auto"/>
        <w:left w:val="none" w:sz="0" w:space="0" w:color="auto"/>
        <w:bottom w:val="none" w:sz="0" w:space="0" w:color="auto"/>
        <w:right w:val="none" w:sz="0" w:space="0" w:color="auto"/>
      </w:divBdr>
    </w:div>
    <w:div w:id="1097940028">
      <w:bodyDiv w:val="1"/>
      <w:marLeft w:val="0"/>
      <w:marRight w:val="0"/>
      <w:marTop w:val="0"/>
      <w:marBottom w:val="0"/>
      <w:divBdr>
        <w:top w:val="none" w:sz="0" w:space="0" w:color="auto"/>
        <w:left w:val="none" w:sz="0" w:space="0" w:color="auto"/>
        <w:bottom w:val="none" w:sz="0" w:space="0" w:color="auto"/>
        <w:right w:val="none" w:sz="0" w:space="0" w:color="auto"/>
      </w:divBdr>
    </w:div>
    <w:div w:id="1140075311">
      <w:bodyDiv w:val="1"/>
      <w:marLeft w:val="0"/>
      <w:marRight w:val="0"/>
      <w:marTop w:val="0"/>
      <w:marBottom w:val="0"/>
      <w:divBdr>
        <w:top w:val="none" w:sz="0" w:space="0" w:color="auto"/>
        <w:left w:val="none" w:sz="0" w:space="0" w:color="auto"/>
        <w:bottom w:val="none" w:sz="0" w:space="0" w:color="auto"/>
        <w:right w:val="none" w:sz="0" w:space="0" w:color="auto"/>
      </w:divBdr>
    </w:div>
    <w:div w:id="1195968253">
      <w:bodyDiv w:val="1"/>
      <w:marLeft w:val="0"/>
      <w:marRight w:val="0"/>
      <w:marTop w:val="0"/>
      <w:marBottom w:val="0"/>
      <w:divBdr>
        <w:top w:val="none" w:sz="0" w:space="0" w:color="auto"/>
        <w:left w:val="none" w:sz="0" w:space="0" w:color="auto"/>
        <w:bottom w:val="none" w:sz="0" w:space="0" w:color="auto"/>
        <w:right w:val="none" w:sz="0" w:space="0" w:color="auto"/>
      </w:divBdr>
    </w:div>
    <w:div w:id="1382094277">
      <w:bodyDiv w:val="1"/>
      <w:marLeft w:val="0"/>
      <w:marRight w:val="0"/>
      <w:marTop w:val="0"/>
      <w:marBottom w:val="0"/>
      <w:divBdr>
        <w:top w:val="none" w:sz="0" w:space="0" w:color="auto"/>
        <w:left w:val="none" w:sz="0" w:space="0" w:color="auto"/>
        <w:bottom w:val="none" w:sz="0" w:space="0" w:color="auto"/>
        <w:right w:val="none" w:sz="0" w:space="0" w:color="auto"/>
      </w:divBdr>
    </w:div>
    <w:div w:id="1579635317">
      <w:bodyDiv w:val="1"/>
      <w:marLeft w:val="0"/>
      <w:marRight w:val="0"/>
      <w:marTop w:val="0"/>
      <w:marBottom w:val="0"/>
      <w:divBdr>
        <w:top w:val="none" w:sz="0" w:space="0" w:color="auto"/>
        <w:left w:val="none" w:sz="0" w:space="0" w:color="auto"/>
        <w:bottom w:val="none" w:sz="0" w:space="0" w:color="auto"/>
        <w:right w:val="none" w:sz="0" w:space="0" w:color="auto"/>
      </w:divBdr>
    </w:div>
    <w:div w:id="1580671816">
      <w:bodyDiv w:val="1"/>
      <w:marLeft w:val="0"/>
      <w:marRight w:val="0"/>
      <w:marTop w:val="0"/>
      <w:marBottom w:val="0"/>
      <w:divBdr>
        <w:top w:val="none" w:sz="0" w:space="0" w:color="auto"/>
        <w:left w:val="none" w:sz="0" w:space="0" w:color="auto"/>
        <w:bottom w:val="none" w:sz="0" w:space="0" w:color="auto"/>
        <w:right w:val="none" w:sz="0" w:space="0" w:color="auto"/>
      </w:divBdr>
    </w:div>
    <w:div w:id="1622029207">
      <w:bodyDiv w:val="1"/>
      <w:marLeft w:val="0"/>
      <w:marRight w:val="0"/>
      <w:marTop w:val="0"/>
      <w:marBottom w:val="0"/>
      <w:divBdr>
        <w:top w:val="none" w:sz="0" w:space="0" w:color="auto"/>
        <w:left w:val="none" w:sz="0" w:space="0" w:color="auto"/>
        <w:bottom w:val="none" w:sz="0" w:space="0" w:color="auto"/>
        <w:right w:val="none" w:sz="0" w:space="0" w:color="auto"/>
      </w:divBdr>
    </w:div>
    <w:div w:id="1694384637">
      <w:bodyDiv w:val="1"/>
      <w:marLeft w:val="0"/>
      <w:marRight w:val="0"/>
      <w:marTop w:val="0"/>
      <w:marBottom w:val="0"/>
      <w:divBdr>
        <w:top w:val="none" w:sz="0" w:space="0" w:color="auto"/>
        <w:left w:val="none" w:sz="0" w:space="0" w:color="auto"/>
        <w:bottom w:val="none" w:sz="0" w:space="0" w:color="auto"/>
        <w:right w:val="none" w:sz="0" w:space="0" w:color="auto"/>
      </w:divBdr>
    </w:div>
    <w:div w:id="1945072252">
      <w:bodyDiv w:val="1"/>
      <w:marLeft w:val="0"/>
      <w:marRight w:val="0"/>
      <w:marTop w:val="0"/>
      <w:marBottom w:val="0"/>
      <w:divBdr>
        <w:top w:val="none" w:sz="0" w:space="0" w:color="auto"/>
        <w:left w:val="none" w:sz="0" w:space="0" w:color="auto"/>
        <w:bottom w:val="none" w:sz="0" w:space="0" w:color="auto"/>
        <w:right w:val="none" w:sz="0" w:space="0" w:color="auto"/>
      </w:divBdr>
    </w:div>
    <w:div w:id="1973552961">
      <w:bodyDiv w:val="1"/>
      <w:marLeft w:val="0"/>
      <w:marRight w:val="0"/>
      <w:marTop w:val="0"/>
      <w:marBottom w:val="0"/>
      <w:divBdr>
        <w:top w:val="none" w:sz="0" w:space="0" w:color="auto"/>
        <w:left w:val="none" w:sz="0" w:space="0" w:color="auto"/>
        <w:bottom w:val="none" w:sz="0" w:space="0" w:color="auto"/>
        <w:right w:val="none" w:sz="0" w:space="0" w:color="auto"/>
      </w:divBdr>
    </w:div>
    <w:div w:id="210633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lus.usoud.cz:443/Search/GetText.aspx?sz=Pl-2-25_2" TargetMode="External"/><Relationship Id="rId13" Type="http://schemas.openxmlformats.org/officeDocument/2006/relationships/hyperlink" Target="https://mezisoudy.cz/aktuality/evropsky-soud-pro-lidska-prava-dnes-vydal-rozsudek-a-rozhodnuti-ve-trech-vecech-proti-ceske-republice" TargetMode="External"/><Relationship Id="rId18" Type="http://schemas.openxmlformats.org/officeDocument/2006/relationships/hyperlink" Target="https://mezisoudy.cz/vykon-rozsudku-eslp-a-rozhodnuti-dalsich-mezinarodnich-lidskopravnich-organu/z-proti-cr-stihani-sexualniho-nasil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zisoudy.cz/aktuality/evropsky-soud-pro-lidska-prava-dnes-vydal-rozsudky-a-rozhodnuti-ve-ctyrech-vecech-proti-ceske-republice" TargetMode="External"/><Relationship Id="rId17" Type="http://schemas.openxmlformats.org/officeDocument/2006/relationships/hyperlink" Target="https://mezisoudy.cz/vykon-rozsudku-eslp-a-rozhodnuti-dalsich-mezinarodnich-lidskopravnich-organu/z-proti-cr-stihani-sexualniho-nasili" TargetMode="External"/><Relationship Id="rId2" Type="http://schemas.openxmlformats.org/officeDocument/2006/relationships/numbering" Target="numbering.xml"/><Relationship Id="rId16" Type="http://schemas.openxmlformats.org/officeDocument/2006/relationships/hyperlink" Target="https://justice.cz/web/msp/zpravodaj-kvz" TargetMode="External"/><Relationship Id="rId20" Type="http://schemas.openxmlformats.org/officeDocument/2006/relationships/hyperlink" Target="https://mezisoudy.cz/tematicke-prirucky/sexualni-nasil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oud.cz/aktualne/pocatek-promlceci-lhuty-k-uplatneni-naroku-na-nahradu-ujmy-zpusobene-porusenim-prava-na-ucinne-vysetrovan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zisoudy.cz/zpravodaj-kvz" TargetMode="External"/><Relationship Id="rId23" Type="http://schemas.openxmlformats.org/officeDocument/2006/relationships/fontTable" Target="fontTable.xml"/><Relationship Id="rId10" Type="http://schemas.openxmlformats.org/officeDocument/2006/relationships/hyperlink" Target="https://www.usoud.cz/projednavane-plenarni-veci?tx_odroom%5Bdetail%5D=5623&amp;cHash=768e778236c366cd190361c15db31d91" TargetMode="External"/><Relationship Id="rId19" Type="http://schemas.openxmlformats.org/officeDocument/2006/relationships/hyperlink" Target="https://eslp.nsoud.cz/vyber/22092/" TargetMode="External"/><Relationship Id="rId4" Type="http://schemas.openxmlformats.org/officeDocument/2006/relationships/settings" Target="settings.xml"/><Relationship Id="rId9" Type="http://schemas.openxmlformats.org/officeDocument/2006/relationships/hyperlink" Target="https://nalus.usoud.cz:443/Search/GetText.aspx?sz=Pl-2-25_3" TargetMode="External"/><Relationship Id="rId14" Type="http://schemas.openxmlformats.org/officeDocument/2006/relationships/hyperlink" Target="https://mezisoudy.cz/databaze-judikatury"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mezisoud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D7C8-9532-4856-BDDF-B0C8E7FF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1911</Words>
  <Characters>11086</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Stanovisko vlády České republiky</vt:lpstr>
    </vt:vector>
  </TitlesOfParts>
  <Company>MSp</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Stanovisko vlády České republiky</dc:title>
  <dc:subject/>
  <dc:creator>Kaštyl Miroslav Mgr.</dc:creator>
  <cp:keywords/>
  <cp:lastModifiedBy>Martinková Jana</cp:lastModifiedBy>
  <cp:revision>7</cp:revision>
  <cp:lastPrinted>2002-07-09T15:11:00Z</cp:lastPrinted>
  <dcterms:created xsi:type="dcterms:W3CDTF">2025-09-04T09:46:00Z</dcterms:created>
  <dcterms:modified xsi:type="dcterms:W3CDTF">2025-09-11T16:38:00Z</dcterms:modified>
  <cp:contentStatus/>
</cp:coreProperties>
</file>